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BDE" w:rsidRDefault="00F71B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F71BDE" w:rsidRDefault="00F71B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F71BDE" w:rsidRDefault="00947EBF" w:rsidP="00101D7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249"/>
        </w:tabs>
        <w:spacing w:line="276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  <w:u w:val="single"/>
        </w:rPr>
        <w:t>EDITAL Nº 02/2021</w:t>
      </w:r>
    </w:p>
    <w:p w:rsidR="00101D76" w:rsidRDefault="00101D76" w:rsidP="00101D7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249"/>
        </w:tabs>
        <w:spacing w:line="276" w:lineRule="auto"/>
        <w:rPr>
          <w:rFonts w:ascii="Arial" w:eastAsia="Arial" w:hAnsi="Arial" w:cs="Arial"/>
          <w:b/>
          <w:u w:val="single"/>
        </w:rPr>
      </w:pPr>
    </w:p>
    <w:p w:rsidR="00F71BDE" w:rsidRDefault="00947EBF">
      <w:pPr>
        <w:spacing w:line="360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CARTA CONVITE Nº 02/2021</w:t>
      </w:r>
    </w:p>
    <w:p w:rsidR="00F71BDE" w:rsidRDefault="00947EBF">
      <w:pPr>
        <w:spacing w:line="360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PROCESSO ADMINISTRATIVO Nº 05/2021</w:t>
      </w:r>
    </w:p>
    <w:p w:rsidR="00F71BDE" w:rsidRDefault="00F71BDE">
      <w:pPr>
        <w:spacing w:line="360" w:lineRule="auto"/>
        <w:jc w:val="both"/>
        <w:rPr>
          <w:rFonts w:ascii="Arial" w:eastAsia="Arial" w:hAnsi="Arial" w:cs="Arial"/>
        </w:rPr>
      </w:pPr>
    </w:p>
    <w:p w:rsidR="00F71BDE" w:rsidRDefault="00F71BDE">
      <w:pPr>
        <w:spacing w:line="360" w:lineRule="auto"/>
        <w:jc w:val="both"/>
        <w:rPr>
          <w:rFonts w:ascii="Arial" w:eastAsia="Arial" w:hAnsi="Arial" w:cs="Arial"/>
        </w:rPr>
      </w:pPr>
    </w:p>
    <w:p w:rsidR="00F71BDE" w:rsidRDefault="00947EBF">
      <w:pPr>
        <w:spacing w:line="360" w:lineRule="auto"/>
        <w:ind w:firstLine="340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Câmara Municipal da Estância Turística de Olímpia, através do seu Presidente, convida as empresas interessadas para oferecerem propostas destinadas à licitação, na modalidade </w:t>
      </w:r>
      <w:r>
        <w:rPr>
          <w:rFonts w:ascii="Arial" w:eastAsia="Arial" w:hAnsi="Arial" w:cs="Arial"/>
          <w:b/>
          <w:u w:val="single"/>
        </w:rPr>
        <w:t>CONVITE</w:t>
      </w:r>
      <w:r>
        <w:rPr>
          <w:rFonts w:ascii="Arial" w:eastAsia="Arial" w:hAnsi="Arial" w:cs="Arial"/>
        </w:rPr>
        <w:t xml:space="preserve">, do tipo </w:t>
      </w:r>
      <w:r>
        <w:rPr>
          <w:rFonts w:ascii="Arial" w:eastAsia="Arial" w:hAnsi="Arial" w:cs="Arial"/>
          <w:b/>
        </w:rPr>
        <w:t>Menor Preço Global</w:t>
      </w:r>
      <w:r>
        <w:rPr>
          <w:rFonts w:ascii="Arial" w:eastAsia="Arial" w:hAnsi="Arial" w:cs="Arial"/>
        </w:rPr>
        <w:t>, que se regerá pela Lei Federal nº 8.666, d</w:t>
      </w:r>
      <w:r>
        <w:rPr>
          <w:rFonts w:ascii="Arial" w:eastAsia="Arial" w:hAnsi="Arial" w:cs="Arial"/>
        </w:rPr>
        <w:t xml:space="preserve">e 21 de junho de 1993, e suas atualizações posteriores, assegurando às Empresas ME ou EPP, o direito de preferência previsto nos </w:t>
      </w:r>
      <w:proofErr w:type="spellStart"/>
      <w:r>
        <w:rPr>
          <w:rFonts w:ascii="Arial" w:eastAsia="Arial" w:hAnsi="Arial" w:cs="Arial"/>
        </w:rPr>
        <w:t>arts</w:t>
      </w:r>
      <w:proofErr w:type="spellEnd"/>
      <w:r>
        <w:rPr>
          <w:rFonts w:ascii="Arial" w:eastAsia="Arial" w:hAnsi="Arial" w:cs="Arial"/>
        </w:rPr>
        <w:t xml:space="preserve">. 44 e 45 da LC n° 123/06, bem como da participação exclusiva extraída dos </w:t>
      </w:r>
      <w:proofErr w:type="spellStart"/>
      <w:r>
        <w:rPr>
          <w:rFonts w:ascii="Arial" w:eastAsia="Arial" w:hAnsi="Arial" w:cs="Arial"/>
        </w:rPr>
        <w:t>arts</w:t>
      </w:r>
      <w:proofErr w:type="spellEnd"/>
      <w:r>
        <w:rPr>
          <w:rFonts w:ascii="Arial" w:eastAsia="Arial" w:hAnsi="Arial" w:cs="Arial"/>
        </w:rPr>
        <w:t>. 48 e 49 da LC nº 123/06, e será processada</w:t>
      </w:r>
      <w:r>
        <w:rPr>
          <w:rFonts w:ascii="Arial" w:eastAsia="Arial" w:hAnsi="Arial" w:cs="Arial"/>
        </w:rPr>
        <w:t xml:space="preserve"> na conformidade das normas e disposições constantes deste Convite e Anexos.</w:t>
      </w:r>
    </w:p>
    <w:p w:rsidR="00F71BDE" w:rsidRDefault="00947EBF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F71BDE" w:rsidRDefault="00947EBF">
      <w:pPr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DO OBJETO</w:t>
      </w:r>
    </w:p>
    <w:p w:rsidR="00F71BDE" w:rsidRDefault="00947EBF">
      <w:pPr>
        <w:spacing w:line="360" w:lineRule="auto"/>
        <w:ind w:left="1080" w:hanging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1.1    Contratação de empresa especializada na Prestação de Serviços Técnicos Profissionais, compreendendo a operação e manutenção dos equipamentos de som do Plenário desta Edilidade e demais dependências durante as Sessões Legislativas e outros eventos re</w:t>
      </w:r>
      <w:r>
        <w:rPr>
          <w:rFonts w:ascii="Arial" w:eastAsia="Arial" w:hAnsi="Arial" w:cs="Arial"/>
        </w:rPr>
        <w:t>alizados no prédio desta Câmara Municipal</w:t>
      </w:r>
      <w:r w:rsidR="00101D76">
        <w:rPr>
          <w:rFonts w:ascii="Arial" w:eastAsia="Arial" w:hAnsi="Arial" w:cs="Arial"/>
        </w:rPr>
        <w:t>, cujas obrigações técnicas da contratada constam do Termo de Referência (ANEXO I)</w:t>
      </w:r>
    </w:p>
    <w:p w:rsidR="00F71BDE" w:rsidRDefault="00F71BDE">
      <w:pPr>
        <w:spacing w:line="360" w:lineRule="auto"/>
        <w:ind w:left="1080" w:hanging="708"/>
        <w:jc w:val="both"/>
        <w:rPr>
          <w:rFonts w:ascii="Arial" w:eastAsia="Arial" w:hAnsi="Arial" w:cs="Arial"/>
        </w:rPr>
      </w:pPr>
    </w:p>
    <w:p w:rsidR="00F71BDE" w:rsidRDefault="00947EBF">
      <w:pPr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DOS PRAZOS E CONDIÇÕES DA DISPONIBILIZAÇÃO DO OBJETO E GARANTIA</w:t>
      </w:r>
    </w:p>
    <w:p w:rsidR="00F71BDE" w:rsidRDefault="00947EBF">
      <w:pPr>
        <w:numPr>
          <w:ilvl w:val="1"/>
          <w:numId w:val="2"/>
        </w:numPr>
        <w:spacing w:line="360" w:lineRule="auto"/>
        <w:jc w:val="both"/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>O contrato terá duração de 12 (doze) meses, podendo ser aditado nos termos da legislação vigente por igual prazo até o limite máximo de 60 (sessenta</w:t>
      </w:r>
      <w:r>
        <w:rPr>
          <w:rFonts w:ascii="Arial" w:eastAsia="Arial" w:hAnsi="Arial" w:cs="Arial"/>
        </w:rPr>
        <w:t xml:space="preserve"> meses).</w:t>
      </w:r>
    </w:p>
    <w:p w:rsidR="00F71BDE" w:rsidRDefault="00947EBF">
      <w:pPr>
        <w:numPr>
          <w:ilvl w:val="1"/>
          <w:numId w:val="2"/>
        </w:numPr>
        <w:spacing w:line="360" w:lineRule="auto"/>
        <w:jc w:val="both"/>
        <w:rPr>
          <w:rFonts w:ascii="Arial" w:eastAsia="Arial" w:hAnsi="Arial" w:cs="Arial"/>
        </w:rPr>
      </w:pPr>
      <w:bookmarkStart w:id="1" w:name="_heading=h.4iurcwye4tns" w:colFirst="0" w:colLast="0"/>
      <w:bookmarkEnd w:id="1"/>
      <w:r>
        <w:rPr>
          <w:rFonts w:ascii="Arial" w:eastAsia="Arial" w:hAnsi="Arial" w:cs="Arial"/>
        </w:rPr>
        <w:lastRenderedPageBreak/>
        <w:t>O prazo para assinatura do Contrato ocorrerá em até 5 (cinco) dias úteis, contados da homologação do certame pela autoridade competente.</w:t>
      </w:r>
    </w:p>
    <w:p w:rsidR="00F71BDE" w:rsidRDefault="00947EBF">
      <w:pPr>
        <w:numPr>
          <w:ilvl w:val="1"/>
          <w:numId w:val="2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 prazo máximo previsto para o início da prestação dos serviços ora licitado é de 03 (três) dias corridos cont</w:t>
      </w:r>
      <w:r>
        <w:rPr>
          <w:rFonts w:ascii="Arial" w:eastAsia="Arial" w:hAnsi="Arial" w:cs="Arial"/>
        </w:rPr>
        <w:t>ados da assinatura do Contrato Administrativo ou da emissão da Autorização da Prestação do Serviço.</w:t>
      </w:r>
    </w:p>
    <w:p w:rsidR="00F71BDE" w:rsidRDefault="00F71BDE">
      <w:pPr>
        <w:spacing w:line="360" w:lineRule="auto"/>
        <w:ind w:left="1080" w:hanging="708"/>
        <w:jc w:val="both"/>
        <w:rPr>
          <w:rFonts w:ascii="Arial" w:eastAsia="Arial" w:hAnsi="Arial" w:cs="Arial"/>
        </w:rPr>
      </w:pPr>
      <w:bookmarkStart w:id="2" w:name="_heading=h.vkowihjvsh33" w:colFirst="0" w:colLast="0"/>
      <w:bookmarkEnd w:id="2"/>
    </w:p>
    <w:p w:rsidR="00F71BDE" w:rsidRDefault="00947EBF">
      <w:pPr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DOS RECURSOS FINANCEIROS</w:t>
      </w:r>
    </w:p>
    <w:p w:rsidR="00F71BDE" w:rsidRDefault="00947EBF">
      <w:pPr>
        <w:numPr>
          <w:ilvl w:val="1"/>
          <w:numId w:val="2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Os recursos financeiros necessários para a realização deste certame, serão cobertos pela seguinte dotação orçamentária:</w:t>
      </w:r>
    </w:p>
    <w:p w:rsidR="00F71BDE" w:rsidRDefault="00F71BDE">
      <w:pPr>
        <w:spacing w:line="360" w:lineRule="auto"/>
        <w:ind w:left="1080" w:hanging="708"/>
        <w:jc w:val="both"/>
        <w:rPr>
          <w:rFonts w:ascii="Arial" w:eastAsia="Arial" w:hAnsi="Arial" w:cs="Arial"/>
        </w:rPr>
      </w:pPr>
    </w:p>
    <w:p w:rsidR="00F71BDE" w:rsidRDefault="00947EB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01 – PODE</w:t>
      </w:r>
      <w:r>
        <w:rPr>
          <w:rFonts w:ascii="Arial" w:eastAsia="Arial" w:hAnsi="Arial" w:cs="Arial"/>
        </w:rPr>
        <w:t>R LEGISLATIVO</w:t>
      </w:r>
    </w:p>
    <w:p w:rsidR="00F71BDE" w:rsidRDefault="00947EB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01.02 – SECRETARIA DA CÂMARA</w:t>
      </w:r>
    </w:p>
    <w:p w:rsidR="00F71BDE" w:rsidRDefault="00947EBF">
      <w:pPr>
        <w:ind w:left="2127" w:hanging="241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 xml:space="preserve">                    3.3.90.39.00 – </w:t>
      </w:r>
      <w:r>
        <w:rPr>
          <w:rFonts w:ascii="Arial" w:eastAsia="Arial" w:hAnsi="Arial" w:cs="Arial"/>
          <w:sz w:val="20"/>
          <w:szCs w:val="20"/>
        </w:rPr>
        <w:t>OUTROS SERVIÇOS DE TERCEIROS – PESSOA JURÍDICA</w:t>
      </w:r>
    </w:p>
    <w:p w:rsidR="00F71BDE" w:rsidRDefault="00947EBF">
      <w:pPr>
        <w:ind w:left="2127" w:hanging="24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3.3.90.39.59 </w:t>
      </w:r>
      <w:proofErr w:type="gramStart"/>
      <w:r>
        <w:rPr>
          <w:rFonts w:ascii="Arial" w:eastAsia="Arial" w:hAnsi="Arial" w:cs="Arial"/>
        </w:rPr>
        <w:t xml:space="preserve">-  </w:t>
      </w:r>
      <w:r>
        <w:rPr>
          <w:rFonts w:ascii="Arial" w:eastAsia="Arial" w:hAnsi="Arial" w:cs="Arial"/>
          <w:sz w:val="20"/>
          <w:szCs w:val="20"/>
        </w:rPr>
        <w:t>SERVIÇOS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DE ÁUDIO, VÍDEO E FOTO</w:t>
      </w:r>
      <w:r>
        <w:rPr>
          <w:rFonts w:ascii="Arial" w:eastAsia="Arial" w:hAnsi="Arial" w:cs="Arial"/>
        </w:rPr>
        <w:t xml:space="preserve">                           </w:t>
      </w:r>
    </w:p>
    <w:p w:rsidR="00F71BDE" w:rsidRDefault="00F71BDE">
      <w:pPr>
        <w:spacing w:line="360" w:lineRule="auto"/>
        <w:ind w:left="1080" w:hanging="708"/>
        <w:jc w:val="both"/>
        <w:rPr>
          <w:rFonts w:ascii="Arial" w:eastAsia="Arial" w:hAnsi="Arial" w:cs="Arial"/>
        </w:rPr>
      </w:pPr>
    </w:p>
    <w:p w:rsidR="00F71BDE" w:rsidRDefault="00947EBF">
      <w:pPr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DOS DOCUMENTOS </w:t>
      </w:r>
    </w:p>
    <w:p w:rsidR="00F71BDE" w:rsidRDefault="00947EBF">
      <w:pPr>
        <w:numPr>
          <w:ilvl w:val="1"/>
          <w:numId w:val="2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</w:rPr>
        <w:t>trato Social da Empresa ou documento equivalente.</w:t>
      </w:r>
    </w:p>
    <w:p w:rsidR="00F71BDE" w:rsidRDefault="00947EBF">
      <w:pPr>
        <w:numPr>
          <w:ilvl w:val="2"/>
          <w:numId w:val="2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 caso de MEI (Microempreendedor Individual), deverá ser apresentado o CCMEI (Certificado da Condição de Microempreendedor Individual), de acordo com o que dispõe a Resolução CGSIM nº 48, de 11 de outubro </w:t>
      </w:r>
      <w:r>
        <w:rPr>
          <w:rFonts w:ascii="Arial" w:eastAsia="Arial" w:hAnsi="Arial" w:cs="Arial"/>
        </w:rPr>
        <w:t>de 2018, que substitui o Requerimento de Empresário para todos os fins.</w:t>
      </w:r>
    </w:p>
    <w:p w:rsidR="00F71BDE" w:rsidRDefault="00947EBF">
      <w:pPr>
        <w:numPr>
          <w:ilvl w:val="2"/>
          <w:numId w:val="2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Em se tratando de Empresário Individual, deverá ser apresentado o Requerimento do Empresário Individual, que substituirá o disposto no item 4.1, para fins de habilitação jurídica.</w:t>
      </w:r>
    </w:p>
    <w:p w:rsidR="00F71BDE" w:rsidRDefault="00947EBF">
      <w:pPr>
        <w:numPr>
          <w:ilvl w:val="1"/>
          <w:numId w:val="2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Cert</w:t>
      </w:r>
      <w:r>
        <w:rPr>
          <w:rFonts w:ascii="Arial" w:eastAsia="Arial" w:hAnsi="Arial" w:cs="Arial"/>
        </w:rPr>
        <w:t>idão de regularidade de situação – CRS relativa ao Fundo de Garantia por Tempo de Serviço (FGTS) emitido pela Caixa Econômica Federal.</w:t>
      </w:r>
    </w:p>
    <w:p w:rsidR="00F71BDE" w:rsidRDefault="00947EBF">
      <w:pPr>
        <w:numPr>
          <w:ilvl w:val="1"/>
          <w:numId w:val="2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Certidão Conjunta de Débitos relativos a tributos federais e a Dívida Ativa da União.</w:t>
      </w:r>
    </w:p>
    <w:p w:rsidR="00F71BDE" w:rsidRDefault="00947EBF">
      <w:pPr>
        <w:numPr>
          <w:ilvl w:val="1"/>
          <w:numId w:val="2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Certidões: Estadual (ICM/ICMS); e Municipal (Certidão Negativa de Débitos Mobiliários e Imobiliários) do domicílio ou sede do licitante, na forma da Lei.</w:t>
      </w:r>
    </w:p>
    <w:p w:rsidR="00F71BDE" w:rsidRDefault="00947EBF">
      <w:pPr>
        <w:numPr>
          <w:ilvl w:val="1"/>
          <w:numId w:val="2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Certidão Negativa de Débitos Tributários da Dívida Ativa do Estado de São Paulo.</w:t>
      </w:r>
    </w:p>
    <w:p w:rsidR="00F71BDE" w:rsidRDefault="00947EBF">
      <w:pPr>
        <w:numPr>
          <w:ilvl w:val="1"/>
          <w:numId w:val="2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Prova de inscrição no</w:t>
      </w:r>
      <w:r>
        <w:rPr>
          <w:rFonts w:ascii="Arial" w:eastAsia="Arial" w:hAnsi="Arial" w:cs="Arial"/>
        </w:rPr>
        <w:t xml:space="preserve"> cadastro de contribuintes do Ministério da Fazenda (cartão CNPJ ou documento equivalente).</w:t>
      </w:r>
    </w:p>
    <w:p w:rsidR="00F71BDE" w:rsidRDefault="00947EBF">
      <w:pPr>
        <w:numPr>
          <w:ilvl w:val="1"/>
          <w:numId w:val="2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Certidão Negativa de Débitos Trabalhista (CNDT) perante a Justiça do Trabalho.</w:t>
      </w:r>
    </w:p>
    <w:p w:rsidR="00F71BDE" w:rsidRDefault="00947EBF">
      <w:pPr>
        <w:numPr>
          <w:ilvl w:val="1"/>
          <w:numId w:val="2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Declaração formal de que se encontra em situação regular perante o Ministério do Trab</w:t>
      </w:r>
      <w:r>
        <w:rPr>
          <w:rFonts w:ascii="Arial" w:eastAsia="Arial" w:hAnsi="Arial" w:cs="Arial"/>
        </w:rPr>
        <w:t>alho na observância das vedações estabelecidas no artigo 7º, inciso XXXIII da Constituição Federal, ou seja, proibição de trabalho noturno, perigoso ou insalubre aos menores de 18 (dezoito) anos e de qualquer trabalho a menores de 16 (dezesseis) anos em qu</w:t>
      </w:r>
      <w:r>
        <w:rPr>
          <w:rFonts w:ascii="Arial" w:eastAsia="Arial" w:hAnsi="Arial" w:cs="Arial"/>
        </w:rPr>
        <w:t>alquer trabalho, salvo na condição de aprendiz, a partir de 14 (quatorze) anos (</w:t>
      </w:r>
      <w:r>
        <w:rPr>
          <w:rFonts w:ascii="Arial" w:eastAsia="Arial" w:hAnsi="Arial" w:cs="Arial"/>
          <w:b/>
        </w:rPr>
        <w:t>Anexo III</w:t>
      </w:r>
      <w:r>
        <w:rPr>
          <w:rFonts w:ascii="Arial" w:eastAsia="Arial" w:hAnsi="Arial" w:cs="Arial"/>
        </w:rPr>
        <w:t>).</w:t>
      </w:r>
    </w:p>
    <w:p w:rsidR="00F71BDE" w:rsidRDefault="00947EBF">
      <w:pPr>
        <w:numPr>
          <w:ilvl w:val="1"/>
          <w:numId w:val="2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Declaração formal de inexistência de fato impeditivo de contratar com órgão público (</w:t>
      </w:r>
      <w:r>
        <w:rPr>
          <w:rFonts w:ascii="Arial" w:eastAsia="Arial" w:hAnsi="Arial" w:cs="Arial"/>
          <w:b/>
        </w:rPr>
        <w:t>Anexo IV</w:t>
      </w:r>
      <w:r>
        <w:rPr>
          <w:rFonts w:ascii="Arial" w:eastAsia="Arial" w:hAnsi="Arial" w:cs="Arial"/>
        </w:rPr>
        <w:t>).</w:t>
      </w:r>
    </w:p>
    <w:p w:rsidR="00F71BDE" w:rsidRDefault="00947EBF">
      <w:pPr>
        <w:numPr>
          <w:ilvl w:val="1"/>
          <w:numId w:val="2"/>
        </w:numPr>
        <w:spacing w:line="360" w:lineRule="auto"/>
        <w:jc w:val="both"/>
        <w:rPr>
          <w:rFonts w:ascii="Arial" w:eastAsia="Arial" w:hAnsi="Arial" w:cs="Arial"/>
        </w:rPr>
      </w:pPr>
      <w:bookmarkStart w:id="3" w:name="_heading=h.30j0zll" w:colFirst="0" w:colLast="0"/>
      <w:bookmarkEnd w:id="3"/>
      <w:r>
        <w:rPr>
          <w:rFonts w:ascii="Arial" w:eastAsia="Arial" w:hAnsi="Arial" w:cs="Arial"/>
        </w:rPr>
        <w:t>As Microempresas (ME) e as Empresas de Pequeno Porte (EPP) que quise</w:t>
      </w:r>
      <w:r>
        <w:rPr>
          <w:rFonts w:ascii="Arial" w:eastAsia="Arial" w:hAnsi="Arial" w:cs="Arial"/>
        </w:rPr>
        <w:t>rem usufruir do tratamento favorecido nas licitações deverão apresentar declaração (</w:t>
      </w:r>
      <w:r>
        <w:rPr>
          <w:rFonts w:ascii="Arial" w:eastAsia="Arial" w:hAnsi="Arial" w:cs="Arial"/>
          <w:b/>
        </w:rPr>
        <w:t>Anexo V</w:t>
      </w:r>
      <w:r>
        <w:rPr>
          <w:rFonts w:ascii="Arial" w:eastAsia="Arial" w:hAnsi="Arial" w:cs="Arial"/>
        </w:rPr>
        <w:t>), afirmando que cumprem os requisitos legais para serem qualificadas como ME e EPP.</w:t>
      </w:r>
    </w:p>
    <w:p w:rsidR="00F71BDE" w:rsidRDefault="00947EBF">
      <w:pPr>
        <w:numPr>
          <w:ilvl w:val="1"/>
          <w:numId w:val="2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Os documentos acima solicitados da empresa deverão ser entregues até </w:t>
      </w:r>
      <w:r w:rsidRPr="000767EE">
        <w:rPr>
          <w:rFonts w:ascii="Arial" w:eastAsia="Arial" w:hAnsi="Arial" w:cs="Arial"/>
          <w:b/>
        </w:rPr>
        <w:t>às 1</w:t>
      </w:r>
      <w:r w:rsidR="000767EE" w:rsidRPr="000767EE">
        <w:rPr>
          <w:rFonts w:ascii="Arial" w:eastAsia="Arial" w:hAnsi="Arial" w:cs="Arial"/>
          <w:b/>
        </w:rPr>
        <w:t>3</w:t>
      </w:r>
      <w:r w:rsidRPr="000767EE">
        <w:rPr>
          <w:rFonts w:ascii="Arial" w:eastAsia="Arial" w:hAnsi="Arial" w:cs="Arial"/>
          <w:b/>
        </w:rPr>
        <w:t xml:space="preserve"> (</w:t>
      </w:r>
      <w:r w:rsidR="000767EE" w:rsidRPr="000767EE">
        <w:rPr>
          <w:rFonts w:ascii="Arial" w:eastAsia="Arial" w:hAnsi="Arial" w:cs="Arial"/>
          <w:b/>
        </w:rPr>
        <w:t>treze</w:t>
      </w:r>
      <w:r w:rsidRPr="000767EE">
        <w:rPr>
          <w:rFonts w:ascii="Arial" w:eastAsia="Arial" w:hAnsi="Arial" w:cs="Arial"/>
          <w:b/>
        </w:rPr>
        <w:t>)</w:t>
      </w:r>
      <w:r w:rsidRPr="000767EE">
        <w:rPr>
          <w:rFonts w:ascii="Arial" w:eastAsia="Arial" w:hAnsi="Arial" w:cs="Arial"/>
          <w:b/>
        </w:rPr>
        <w:t xml:space="preserve"> horas do dia </w:t>
      </w:r>
      <w:r w:rsidR="000767EE" w:rsidRPr="000767EE">
        <w:rPr>
          <w:rFonts w:ascii="Arial" w:eastAsia="Arial" w:hAnsi="Arial" w:cs="Arial"/>
          <w:b/>
        </w:rPr>
        <w:t>06</w:t>
      </w:r>
      <w:r w:rsidRPr="000767EE">
        <w:rPr>
          <w:rFonts w:ascii="Arial" w:eastAsia="Arial" w:hAnsi="Arial" w:cs="Arial"/>
          <w:b/>
        </w:rPr>
        <w:t xml:space="preserve"> de </w:t>
      </w:r>
      <w:r w:rsidR="000767EE" w:rsidRPr="000767EE">
        <w:rPr>
          <w:rFonts w:ascii="Arial" w:eastAsia="Arial" w:hAnsi="Arial" w:cs="Arial"/>
          <w:b/>
        </w:rPr>
        <w:t>abril</w:t>
      </w:r>
      <w:r w:rsidRPr="000767EE">
        <w:rPr>
          <w:rFonts w:ascii="Arial" w:eastAsia="Arial" w:hAnsi="Arial" w:cs="Arial"/>
          <w:b/>
        </w:rPr>
        <w:t xml:space="preserve"> de 2021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 xml:space="preserve">em envelope indevassável e lacrado, subscrito com o nome da empresa e mais os seguintes dizeres: </w:t>
      </w:r>
    </w:p>
    <w:p w:rsidR="00F71BDE" w:rsidRDefault="00F71BDE">
      <w:pPr>
        <w:spacing w:line="360" w:lineRule="auto"/>
        <w:ind w:left="1080"/>
        <w:jc w:val="both"/>
        <w:rPr>
          <w:rFonts w:ascii="Arial" w:eastAsia="Arial" w:hAnsi="Arial" w:cs="Arial"/>
        </w:rPr>
      </w:pPr>
    </w:p>
    <w:tbl>
      <w:tblPr>
        <w:tblStyle w:val="a"/>
        <w:tblW w:w="8160" w:type="dxa"/>
        <w:tblInd w:w="5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160"/>
      </w:tblGrid>
      <w:tr w:rsidR="00F71BDE">
        <w:trPr>
          <w:trHeight w:val="2955"/>
        </w:trPr>
        <w:tc>
          <w:tcPr>
            <w:tcW w:w="8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BDE" w:rsidRDefault="00947EBF">
            <w:pPr>
              <w:spacing w:before="240" w:after="240" w:line="360" w:lineRule="auto"/>
              <w:ind w:left="708" w:hanging="141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Câmara Municipal de Olímpia</w:t>
            </w:r>
          </w:p>
          <w:p w:rsidR="00F71BDE" w:rsidRDefault="00947EBF">
            <w:pPr>
              <w:spacing w:before="240" w:after="240" w:line="360" w:lineRule="auto"/>
              <w:ind w:left="708" w:hanging="141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Envelope nº 1 – “DOCUMENTAÇÃO”</w:t>
            </w:r>
          </w:p>
          <w:p w:rsidR="00F71BDE" w:rsidRDefault="00947EBF">
            <w:pPr>
              <w:spacing w:before="240" w:after="240" w:line="360" w:lineRule="auto"/>
              <w:ind w:left="708" w:hanging="141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CARTA </w:t>
            </w:r>
            <w:proofErr w:type="gramStart"/>
            <w:r>
              <w:rPr>
                <w:rFonts w:ascii="Arial" w:eastAsia="Arial" w:hAnsi="Arial" w:cs="Arial"/>
                <w:b/>
              </w:rPr>
              <w:t>CONVITE  nº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02/2021</w:t>
            </w:r>
          </w:p>
          <w:p w:rsidR="00F71BDE" w:rsidRDefault="00947EBF">
            <w:pPr>
              <w:spacing w:before="240" w:after="240" w:line="360" w:lineRule="auto"/>
              <w:ind w:left="708" w:hanging="141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Razão social: _____________ CNPJ</w:t>
            </w:r>
            <w:r>
              <w:rPr>
                <w:rFonts w:ascii="Arial" w:eastAsia="Arial" w:hAnsi="Arial" w:cs="Arial"/>
                <w:b/>
              </w:rPr>
              <w:t>:______________________</w:t>
            </w:r>
          </w:p>
        </w:tc>
      </w:tr>
    </w:tbl>
    <w:p w:rsidR="00F71BDE" w:rsidRDefault="00F71BDE">
      <w:pPr>
        <w:spacing w:line="360" w:lineRule="auto"/>
        <w:ind w:left="1080" w:hanging="513"/>
        <w:jc w:val="both"/>
        <w:rPr>
          <w:rFonts w:ascii="Arial" w:eastAsia="Arial" w:hAnsi="Arial" w:cs="Arial"/>
        </w:rPr>
      </w:pPr>
    </w:p>
    <w:p w:rsidR="00F71BDE" w:rsidRDefault="00947EBF">
      <w:pPr>
        <w:spacing w:line="360" w:lineRule="auto"/>
        <w:ind w:left="10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Os documentos solicitados deverão ser apresentados através de cópias autenticadas em Cartório, excetuando-se desta obrigatoriedade aqueles emitidos pela internet, que possuam código de verificação de autenticidade.</w:t>
      </w:r>
    </w:p>
    <w:p w:rsidR="00F71BDE" w:rsidRDefault="00947EBF">
      <w:pPr>
        <w:numPr>
          <w:ilvl w:val="1"/>
          <w:numId w:val="2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Poderão também, no momento da abertura do</w:t>
      </w:r>
      <w:r>
        <w:rPr>
          <w:rFonts w:ascii="Arial" w:eastAsia="Arial" w:hAnsi="Arial" w:cs="Arial"/>
        </w:rPr>
        <w:t>s envelopes, as cópias não autenticadas em Cartório, serem reconhecidas pela Comissão Permanente de Licitação como idênticas, mediante apresentação dos documentos originais, sendo aposto, no verso dos documentos, a rubrica “confere com o original”.</w:t>
      </w:r>
    </w:p>
    <w:p w:rsidR="00F71BDE" w:rsidRDefault="00947EBF">
      <w:pPr>
        <w:numPr>
          <w:ilvl w:val="1"/>
          <w:numId w:val="2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Comprov</w:t>
      </w:r>
      <w:r>
        <w:rPr>
          <w:rFonts w:ascii="Arial" w:eastAsia="Arial" w:hAnsi="Arial" w:cs="Arial"/>
        </w:rPr>
        <w:t>ação de capacidade técnica da Empresa prestadora de serviços.</w:t>
      </w:r>
    </w:p>
    <w:p w:rsidR="00F71BDE" w:rsidRDefault="00F71BDE">
      <w:pPr>
        <w:spacing w:line="360" w:lineRule="auto"/>
        <w:jc w:val="both"/>
        <w:rPr>
          <w:rFonts w:ascii="Arial" w:eastAsia="Arial" w:hAnsi="Arial" w:cs="Arial"/>
        </w:rPr>
      </w:pPr>
    </w:p>
    <w:p w:rsidR="00F71BDE" w:rsidRDefault="00947EBF">
      <w:pPr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DA APRESENTAÇÃO DA PROPOSTA</w:t>
      </w:r>
    </w:p>
    <w:p w:rsidR="00F71BDE" w:rsidRDefault="00947EBF">
      <w:pPr>
        <w:numPr>
          <w:ilvl w:val="1"/>
          <w:numId w:val="2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Os licitantes deverão apresentar suas propostas em envelopes fechados e indevassáveis.</w:t>
      </w:r>
    </w:p>
    <w:p w:rsidR="00F71BDE" w:rsidRDefault="00947EBF">
      <w:pPr>
        <w:numPr>
          <w:ilvl w:val="1"/>
          <w:numId w:val="2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b/>
        </w:rPr>
        <w:t xml:space="preserve">proposta </w:t>
      </w:r>
      <w:r>
        <w:rPr>
          <w:rFonts w:ascii="Arial" w:eastAsia="Arial" w:hAnsi="Arial" w:cs="Arial"/>
        </w:rPr>
        <w:t>deverá ser apresentada à Comissão Permanente de Licitação desta Câm</w:t>
      </w:r>
      <w:r>
        <w:rPr>
          <w:rFonts w:ascii="Arial" w:eastAsia="Arial" w:hAnsi="Arial" w:cs="Arial"/>
        </w:rPr>
        <w:t xml:space="preserve">ara através do </w:t>
      </w:r>
      <w:r>
        <w:rPr>
          <w:rFonts w:ascii="Arial" w:eastAsia="Arial" w:hAnsi="Arial" w:cs="Arial"/>
          <w:b/>
        </w:rPr>
        <w:t xml:space="preserve">formulário </w:t>
      </w:r>
      <w:r>
        <w:rPr>
          <w:rFonts w:ascii="Arial" w:eastAsia="Arial" w:hAnsi="Arial" w:cs="Arial"/>
        </w:rPr>
        <w:t>anexo devidamente preenchido (</w:t>
      </w:r>
      <w:r>
        <w:rPr>
          <w:rFonts w:ascii="Arial" w:eastAsia="Arial" w:hAnsi="Arial" w:cs="Arial"/>
          <w:b/>
        </w:rPr>
        <w:t>Anexo VI</w:t>
      </w:r>
      <w:r>
        <w:rPr>
          <w:rFonts w:ascii="Arial" w:eastAsia="Arial" w:hAnsi="Arial" w:cs="Arial"/>
        </w:rPr>
        <w:t xml:space="preserve">), </w:t>
      </w:r>
      <w:r w:rsidRPr="000767EE">
        <w:rPr>
          <w:rFonts w:ascii="Arial" w:eastAsia="Arial" w:hAnsi="Arial" w:cs="Arial"/>
        </w:rPr>
        <w:t xml:space="preserve">até </w:t>
      </w:r>
      <w:r w:rsidRPr="000767EE">
        <w:rPr>
          <w:rFonts w:ascii="Arial" w:eastAsia="Arial" w:hAnsi="Arial" w:cs="Arial"/>
          <w:b/>
        </w:rPr>
        <w:t>às 1</w:t>
      </w:r>
      <w:r w:rsidR="000767EE" w:rsidRPr="000767EE">
        <w:rPr>
          <w:rFonts w:ascii="Arial" w:eastAsia="Arial" w:hAnsi="Arial" w:cs="Arial"/>
          <w:b/>
        </w:rPr>
        <w:t>3</w:t>
      </w:r>
      <w:r w:rsidRPr="000767EE">
        <w:rPr>
          <w:rFonts w:ascii="Arial" w:eastAsia="Arial" w:hAnsi="Arial" w:cs="Arial"/>
          <w:b/>
        </w:rPr>
        <w:t>(</w:t>
      </w:r>
      <w:r w:rsidR="000767EE" w:rsidRPr="000767EE">
        <w:rPr>
          <w:rFonts w:ascii="Arial" w:eastAsia="Arial" w:hAnsi="Arial" w:cs="Arial"/>
          <w:b/>
        </w:rPr>
        <w:t>treze</w:t>
      </w:r>
      <w:r w:rsidRPr="000767EE">
        <w:rPr>
          <w:rFonts w:ascii="Arial" w:eastAsia="Arial" w:hAnsi="Arial" w:cs="Arial"/>
          <w:b/>
        </w:rPr>
        <w:t xml:space="preserve">) horas do dia </w:t>
      </w:r>
      <w:r w:rsidR="000767EE" w:rsidRPr="000767EE">
        <w:rPr>
          <w:rFonts w:ascii="Arial" w:eastAsia="Arial" w:hAnsi="Arial" w:cs="Arial"/>
          <w:b/>
        </w:rPr>
        <w:t>06</w:t>
      </w:r>
      <w:r w:rsidRPr="000767EE">
        <w:rPr>
          <w:rFonts w:ascii="Arial" w:eastAsia="Arial" w:hAnsi="Arial" w:cs="Arial"/>
          <w:b/>
        </w:rPr>
        <w:t xml:space="preserve"> de </w:t>
      </w:r>
      <w:r w:rsidR="000767EE" w:rsidRPr="000767EE">
        <w:rPr>
          <w:rFonts w:ascii="Arial" w:eastAsia="Arial" w:hAnsi="Arial" w:cs="Arial"/>
          <w:b/>
        </w:rPr>
        <w:t>abril</w:t>
      </w:r>
      <w:r w:rsidRPr="000767EE">
        <w:rPr>
          <w:rFonts w:ascii="Arial" w:eastAsia="Arial" w:hAnsi="Arial" w:cs="Arial"/>
          <w:b/>
        </w:rPr>
        <w:t xml:space="preserve"> de 2021,</w:t>
      </w:r>
      <w:r>
        <w:rPr>
          <w:rFonts w:ascii="Arial" w:eastAsia="Arial" w:hAnsi="Arial" w:cs="Arial"/>
        </w:rPr>
        <w:t xml:space="preserve"> em envelope indevassável e lacrado, subscrito com o nome da empresa e mais os seguintes dizeres: </w:t>
      </w:r>
    </w:p>
    <w:p w:rsidR="00F71BDE" w:rsidRDefault="00F71BDE">
      <w:pPr>
        <w:spacing w:line="360" w:lineRule="auto"/>
        <w:ind w:left="1080"/>
        <w:jc w:val="both"/>
        <w:rPr>
          <w:rFonts w:ascii="Arial" w:eastAsia="Arial" w:hAnsi="Arial" w:cs="Arial"/>
        </w:rPr>
      </w:pPr>
    </w:p>
    <w:tbl>
      <w:tblPr>
        <w:tblStyle w:val="a0"/>
        <w:tblW w:w="8415" w:type="dxa"/>
        <w:tblInd w:w="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415"/>
      </w:tblGrid>
      <w:tr w:rsidR="00F71BDE" w:rsidTr="009E1A51">
        <w:trPr>
          <w:trHeight w:val="2845"/>
        </w:trPr>
        <w:tc>
          <w:tcPr>
            <w:tcW w:w="8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BDE" w:rsidRDefault="00947EBF">
            <w:pPr>
              <w:spacing w:before="240" w:after="240" w:line="360" w:lineRule="auto"/>
              <w:ind w:left="1180" w:hanging="1038"/>
              <w:jc w:val="both"/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lastRenderedPageBreak/>
              <w:t>Câmara Municipal de Olímpia</w:t>
            </w:r>
          </w:p>
          <w:p w:rsidR="00F71BDE" w:rsidRDefault="00947EBF">
            <w:pPr>
              <w:spacing w:before="240" w:after="240" w:line="360" w:lineRule="auto"/>
              <w:ind w:left="1180" w:hanging="1038"/>
              <w:jc w:val="both"/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>Envelope nº 2 – “PROPOSTA”</w:t>
            </w:r>
          </w:p>
          <w:p w:rsidR="00F71BDE" w:rsidRDefault="00947EBF">
            <w:pPr>
              <w:spacing w:before="240" w:after="240" w:line="360" w:lineRule="auto"/>
              <w:ind w:left="1180" w:hanging="1038"/>
              <w:jc w:val="both"/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 xml:space="preserve">CARTA </w:t>
            </w:r>
            <w:proofErr w:type="gramStart"/>
            <w:r>
              <w:rPr>
                <w:rFonts w:ascii="Arial" w:eastAsia="Arial" w:hAnsi="Arial" w:cs="Arial"/>
                <w:b/>
                <w:sz w:val="26"/>
                <w:szCs w:val="26"/>
              </w:rPr>
              <w:t>CONVITE  nº</w:t>
            </w:r>
            <w:proofErr w:type="gramEnd"/>
            <w:r>
              <w:rPr>
                <w:rFonts w:ascii="Arial" w:eastAsia="Arial" w:hAnsi="Arial" w:cs="Arial"/>
                <w:b/>
                <w:sz w:val="26"/>
                <w:szCs w:val="26"/>
              </w:rPr>
              <w:t xml:space="preserve"> 02/2021</w:t>
            </w:r>
          </w:p>
          <w:p w:rsidR="00F71BDE" w:rsidRDefault="00947EBF">
            <w:pPr>
              <w:spacing w:before="240" w:after="240" w:line="360" w:lineRule="auto"/>
              <w:ind w:left="1180" w:hanging="1038"/>
              <w:jc w:val="both"/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 xml:space="preserve">Razão social: _____________ CNPJ:_______________________ </w:t>
            </w:r>
          </w:p>
        </w:tc>
      </w:tr>
    </w:tbl>
    <w:p w:rsidR="000767EE" w:rsidRDefault="00947EBF">
      <w:pPr>
        <w:spacing w:line="360" w:lineRule="auto"/>
        <w:ind w:left="10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F71BDE" w:rsidRDefault="00947EBF">
      <w:pPr>
        <w:spacing w:line="360" w:lineRule="auto"/>
        <w:ind w:left="10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sem emendas, rasuras ou entrelinhas, com o </w:t>
      </w:r>
      <w:r>
        <w:rPr>
          <w:rFonts w:ascii="Arial" w:eastAsia="Arial" w:hAnsi="Arial" w:cs="Arial"/>
          <w:b/>
        </w:rPr>
        <w:t>carimbo da proponente</w:t>
      </w:r>
      <w:r>
        <w:rPr>
          <w:rFonts w:ascii="Arial" w:eastAsia="Arial" w:hAnsi="Arial" w:cs="Arial"/>
        </w:rPr>
        <w:t xml:space="preserve">, constando da mesma aqueles elementos solicitados por esta Carta Convite e dos quais haja interesse, contendo, ainda, a </w:t>
      </w:r>
      <w:r>
        <w:rPr>
          <w:rFonts w:ascii="Arial" w:eastAsia="Arial" w:hAnsi="Arial" w:cs="Arial"/>
          <w:b/>
        </w:rPr>
        <w:t>data e assinatura dos responsáveis pela empresa</w:t>
      </w:r>
      <w:r>
        <w:rPr>
          <w:rFonts w:ascii="Arial" w:eastAsia="Arial" w:hAnsi="Arial" w:cs="Arial"/>
        </w:rPr>
        <w:t>.</w:t>
      </w:r>
    </w:p>
    <w:p w:rsidR="00F71BDE" w:rsidRDefault="00947EBF">
      <w:pPr>
        <w:numPr>
          <w:ilvl w:val="1"/>
          <w:numId w:val="2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 formulário (</w:t>
      </w:r>
      <w:r>
        <w:rPr>
          <w:rFonts w:ascii="Arial" w:eastAsia="Arial" w:hAnsi="Arial" w:cs="Arial"/>
          <w:b/>
        </w:rPr>
        <w:t>Anexo VI</w:t>
      </w:r>
      <w:r>
        <w:rPr>
          <w:rFonts w:ascii="Arial" w:eastAsia="Arial" w:hAnsi="Arial" w:cs="Arial"/>
        </w:rPr>
        <w:t xml:space="preserve">) poderá ser </w:t>
      </w:r>
      <w:r>
        <w:rPr>
          <w:rFonts w:ascii="Arial" w:eastAsia="Arial" w:hAnsi="Arial" w:cs="Arial"/>
          <w:b/>
        </w:rPr>
        <w:t>substituído</w:t>
      </w:r>
      <w:r>
        <w:rPr>
          <w:rFonts w:ascii="Arial" w:eastAsia="Arial" w:hAnsi="Arial" w:cs="Arial"/>
        </w:rPr>
        <w:t xml:space="preserve"> por proposta digitada, sem emendas, ras</w:t>
      </w:r>
      <w:r>
        <w:rPr>
          <w:rFonts w:ascii="Arial" w:eastAsia="Arial" w:hAnsi="Arial" w:cs="Arial"/>
        </w:rPr>
        <w:t>uras ou entrelinhas, em papel timbrado ou com o carimbo da proponente, desde que constem da mesma todos os elementos solicitados por esta Carta Convite, contendo, ainda, a data e a assinatura dos responsáveis pela Empresa.</w:t>
      </w:r>
    </w:p>
    <w:p w:rsidR="00F71BDE" w:rsidRDefault="00F71BDE">
      <w:pPr>
        <w:spacing w:line="360" w:lineRule="auto"/>
        <w:ind w:left="1080" w:hanging="708"/>
        <w:jc w:val="both"/>
        <w:rPr>
          <w:rFonts w:ascii="Arial" w:eastAsia="Arial" w:hAnsi="Arial" w:cs="Arial"/>
        </w:rPr>
      </w:pPr>
    </w:p>
    <w:p w:rsidR="00F71BDE" w:rsidRDefault="00947EBF">
      <w:pPr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DOS CRITÉRIOS DE JULGAMENTO</w:t>
      </w:r>
    </w:p>
    <w:p w:rsidR="00F71BDE" w:rsidRDefault="00947EBF">
      <w:pPr>
        <w:numPr>
          <w:ilvl w:val="1"/>
          <w:numId w:val="2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 j</w:t>
      </w:r>
      <w:r>
        <w:rPr>
          <w:rFonts w:ascii="Arial" w:eastAsia="Arial" w:hAnsi="Arial" w:cs="Arial"/>
        </w:rPr>
        <w:t xml:space="preserve">ulgamento das propostas será adotado o critério de </w:t>
      </w:r>
      <w:r>
        <w:rPr>
          <w:rFonts w:ascii="Arial" w:eastAsia="Arial" w:hAnsi="Arial" w:cs="Arial"/>
          <w:b/>
        </w:rPr>
        <w:t>MENOR PREÇO GLOBAL</w:t>
      </w:r>
      <w:r>
        <w:rPr>
          <w:rFonts w:ascii="Arial" w:eastAsia="Arial" w:hAnsi="Arial" w:cs="Arial"/>
        </w:rPr>
        <w:t xml:space="preserve">, observando-se as especificações exigidas no </w:t>
      </w:r>
      <w:r>
        <w:rPr>
          <w:rFonts w:ascii="Arial" w:eastAsia="Arial" w:hAnsi="Arial" w:cs="Arial"/>
          <w:b/>
        </w:rPr>
        <w:t>Termo de Referência (Anexo I).</w:t>
      </w:r>
    </w:p>
    <w:p w:rsidR="00F71BDE" w:rsidRDefault="00947EBF">
      <w:pPr>
        <w:numPr>
          <w:ilvl w:val="1"/>
          <w:numId w:val="2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 caso de </w:t>
      </w:r>
      <w:r>
        <w:rPr>
          <w:rFonts w:ascii="Arial" w:eastAsia="Arial" w:hAnsi="Arial" w:cs="Arial"/>
          <w:b/>
          <w:u w:val="single"/>
        </w:rPr>
        <w:t>empate</w:t>
      </w:r>
      <w:r>
        <w:rPr>
          <w:rFonts w:ascii="Arial" w:eastAsia="Arial" w:hAnsi="Arial" w:cs="Arial"/>
        </w:rPr>
        <w:t xml:space="preserve"> entre duas ou mais propostas será obedecido o disposto nos </w:t>
      </w:r>
      <w:proofErr w:type="spellStart"/>
      <w:r>
        <w:rPr>
          <w:rFonts w:ascii="Arial" w:eastAsia="Arial" w:hAnsi="Arial" w:cs="Arial"/>
        </w:rPr>
        <w:t>arts</w:t>
      </w:r>
      <w:proofErr w:type="spellEnd"/>
      <w:r>
        <w:rPr>
          <w:rFonts w:ascii="Arial" w:eastAsia="Arial" w:hAnsi="Arial" w:cs="Arial"/>
        </w:rPr>
        <w:t>. 44 e 45 da Lei Complementar</w:t>
      </w:r>
      <w:r>
        <w:rPr>
          <w:rFonts w:ascii="Arial" w:eastAsia="Arial" w:hAnsi="Arial" w:cs="Arial"/>
        </w:rPr>
        <w:t xml:space="preserve"> 123/2006</w:t>
      </w:r>
      <w:r>
        <w:rPr>
          <w:rFonts w:ascii="Arial" w:eastAsia="Arial" w:hAnsi="Arial" w:cs="Arial"/>
        </w:rPr>
        <w:t xml:space="preserve">. </w:t>
      </w:r>
      <w:r w:rsidR="000767EE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Contudo,</w:t>
      </w:r>
      <w:r w:rsidR="000767EE">
        <w:rPr>
          <w:rFonts w:ascii="Arial" w:eastAsia="Arial" w:hAnsi="Arial" w:cs="Arial"/>
        </w:rPr>
        <w:t xml:space="preserve"> deve ser observado o artigo 3º, § 2º da Lei 8.666/93 e,</w:t>
      </w:r>
      <w:r>
        <w:rPr>
          <w:rFonts w:ascii="Arial" w:eastAsia="Arial" w:hAnsi="Arial" w:cs="Arial"/>
        </w:rPr>
        <w:t xml:space="preserve"> caso esgotadas as possibilidades de desempate</w:t>
      </w:r>
      <w:r>
        <w:rPr>
          <w:rFonts w:ascii="Arial" w:eastAsia="Arial" w:hAnsi="Arial" w:cs="Arial"/>
        </w:rPr>
        <w:t>, será realizado sorteio em ato público, de acordo com art. 45, §</w:t>
      </w:r>
      <w:r w:rsidR="000767EE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2º da Lei Federal 8.666/1993, podendo o</w:t>
      </w:r>
      <w:r>
        <w:rPr>
          <w:rFonts w:ascii="Arial" w:eastAsia="Arial" w:hAnsi="Arial" w:cs="Arial"/>
        </w:rPr>
        <w:t xml:space="preserve"> sorteio acontecer na mesma data da abertura dos envelopes, caso estejam presentes todos os licitantes, ou, sequencialmente à sessão de habilitação e classificação, para o qual todos os licitantes serão convocados.</w:t>
      </w:r>
    </w:p>
    <w:p w:rsidR="00F71BDE" w:rsidRDefault="00947EBF">
      <w:pPr>
        <w:numPr>
          <w:ilvl w:val="1"/>
          <w:numId w:val="2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Serão </w:t>
      </w:r>
      <w:r>
        <w:rPr>
          <w:rFonts w:ascii="Arial" w:eastAsia="Arial" w:hAnsi="Arial" w:cs="Arial"/>
          <w:b/>
        </w:rPr>
        <w:t>desclassificadas</w:t>
      </w:r>
      <w:r>
        <w:rPr>
          <w:rFonts w:ascii="Arial" w:eastAsia="Arial" w:hAnsi="Arial" w:cs="Arial"/>
        </w:rPr>
        <w:t>:</w:t>
      </w:r>
    </w:p>
    <w:p w:rsidR="00F71BDE" w:rsidRDefault="00947EBF">
      <w:pPr>
        <w:numPr>
          <w:ilvl w:val="0"/>
          <w:numId w:val="4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As propostas que </w:t>
      </w:r>
      <w:r>
        <w:rPr>
          <w:rFonts w:ascii="Arial" w:eastAsia="Arial" w:hAnsi="Arial" w:cs="Arial"/>
        </w:rPr>
        <w:t>apresentarem irregularidades, vícios ou defeitos que impossibilitem seu entendimento ou julgamento;</w:t>
      </w:r>
    </w:p>
    <w:p w:rsidR="00F71BDE" w:rsidRDefault="00947EBF">
      <w:pPr>
        <w:numPr>
          <w:ilvl w:val="0"/>
          <w:numId w:val="4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As propostas que não atenderem às especificações do </w:t>
      </w:r>
      <w:r>
        <w:rPr>
          <w:rFonts w:ascii="Arial" w:eastAsia="Arial" w:hAnsi="Arial" w:cs="Arial"/>
          <w:b/>
        </w:rPr>
        <w:t>Termo de Referência (Anexo I).</w:t>
      </w:r>
    </w:p>
    <w:p w:rsidR="00F71BDE" w:rsidRDefault="00947EBF">
      <w:pPr>
        <w:numPr>
          <w:ilvl w:val="1"/>
          <w:numId w:val="2"/>
        </w:numPr>
        <w:spacing w:line="360" w:lineRule="auto"/>
        <w:ind w:left="10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Em se tratando de Microempresas (ME) e Empresas de Pequeno Porte, nos ter</w:t>
      </w:r>
      <w:r>
        <w:rPr>
          <w:rFonts w:ascii="Arial" w:eastAsia="Arial" w:hAnsi="Arial" w:cs="Arial"/>
        </w:rPr>
        <w:t xml:space="preserve">mos do art. 43 da Lei Complementar nº 123/2009, deverão apresentar toda a documentação exigida para efeito de comprovação de regularidade fiscal e trabalhista, mesmo que esta apresente alguma restrição. </w:t>
      </w:r>
    </w:p>
    <w:p w:rsidR="00F71BDE" w:rsidRDefault="00947EBF">
      <w:pPr>
        <w:numPr>
          <w:ilvl w:val="2"/>
          <w:numId w:val="2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Havendo alguma restrição na comprovação da regularidade fiscal e trabalhista, será assegurado o </w:t>
      </w:r>
      <w:r>
        <w:rPr>
          <w:rFonts w:ascii="Arial" w:eastAsia="Arial" w:hAnsi="Arial" w:cs="Arial"/>
          <w:b/>
        </w:rPr>
        <w:t>prazo</w:t>
      </w:r>
      <w:r>
        <w:rPr>
          <w:rFonts w:ascii="Arial" w:eastAsia="Arial" w:hAnsi="Arial" w:cs="Arial"/>
        </w:rPr>
        <w:t xml:space="preserve"> de </w:t>
      </w:r>
      <w:r>
        <w:rPr>
          <w:rFonts w:ascii="Arial" w:eastAsia="Arial" w:hAnsi="Arial" w:cs="Arial"/>
          <w:b/>
        </w:rPr>
        <w:t>5 (cinco) dias úteis</w:t>
      </w:r>
      <w:r>
        <w:rPr>
          <w:rFonts w:ascii="Arial" w:eastAsia="Arial" w:hAnsi="Arial" w:cs="Arial"/>
        </w:rPr>
        <w:t>, cujo termo inicial corresponderá ao momento em que o proponente for declarado vencedor do certame, prorrogável por igual período,</w:t>
      </w:r>
      <w:r>
        <w:rPr>
          <w:rFonts w:ascii="Arial" w:eastAsia="Arial" w:hAnsi="Arial" w:cs="Arial"/>
        </w:rPr>
        <w:t xml:space="preserve"> a critério da administração pública, para regularização da documentação, para pagamento ou parcelamento do débito e para emissão de eventuais certidões negativas ou positivas com efeito de certidão negativa.</w:t>
      </w:r>
    </w:p>
    <w:p w:rsidR="00F71BDE" w:rsidRDefault="00947EBF">
      <w:pPr>
        <w:numPr>
          <w:ilvl w:val="2"/>
          <w:numId w:val="2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Caso não ocorra a regularização da documentação</w:t>
      </w:r>
      <w:r>
        <w:rPr>
          <w:rFonts w:ascii="Arial" w:eastAsia="Arial" w:hAnsi="Arial" w:cs="Arial"/>
        </w:rPr>
        <w:t xml:space="preserve"> no prazo previsto no item 6.4.1, ocorrerá decadência do direito à contratação. </w:t>
      </w:r>
    </w:p>
    <w:p w:rsidR="00F71BDE" w:rsidRDefault="00947EBF">
      <w:pPr>
        <w:numPr>
          <w:ilvl w:val="1"/>
          <w:numId w:val="2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Não constituirá causa de inabilitação a irregularidade formal que não afete o conteúdo ou a idoneidade do documento.</w:t>
      </w:r>
    </w:p>
    <w:p w:rsidR="00F71BDE" w:rsidRDefault="00947EBF">
      <w:pPr>
        <w:numPr>
          <w:ilvl w:val="1"/>
          <w:numId w:val="2"/>
        </w:numPr>
        <w:spacing w:line="360" w:lineRule="auto"/>
        <w:ind w:left="10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Satisfeitas todas as condições de habilitação, a classific</w:t>
      </w:r>
      <w:r>
        <w:rPr>
          <w:rFonts w:ascii="Arial" w:eastAsia="Arial" w:hAnsi="Arial" w:cs="Arial"/>
        </w:rPr>
        <w:t>ação será efetuada na ordem crescente dos preços propostos e aceitáveis, cabendo ao Presidente da Câmara a Homologação e Adjudicação do certame.</w:t>
      </w:r>
    </w:p>
    <w:p w:rsidR="00F71BDE" w:rsidRDefault="00F71BDE">
      <w:pPr>
        <w:pStyle w:val="Ttulo1"/>
        <w:keepLines w:val="0"/>
        <w:tabs>
          <w:tab w:val="left" w:pos="3402"/>
        </w:tabs>
        <w:spacing w:before="0"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F71BDE" w:rsidRDefault="00947EBF">
      <w:pPr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DA SESSÃO DE ABERTURA DOS ENVELOPES </w:t>
      </w:r>
    </w:p>
    <w:p w:rsidR="00F71BDE" w:rsidRDefault="00947EBF">
      <w:pPr>
        <w:numPr>
          <w:ilvl w:val="1"/>
          <w:numId w:val="2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 sessão pública de abertura, que ocorrerá </w:t>
      </w:r>
      <w:r w:rsidRPr="000767EE">
        <w:rPr>
          <w:rFonts w:ascii="Arial" w:eastAsia="Arial" w:hAnsi="Arial" w:cs="Arial"/>
          <w:b/>
        </w:rPr>
        <w:t xml:space="preserve">às </w:t>
      </w:r>
      <w:r w:rsidRPr="000767EE">
        <w:rPr>
          <w:rFonts w:ascii="Arial" w:eastAsia="Arial" w:hAnsi="Arial" w:cs="Arial"/>
          <w:b/>
        </w:rPr>
        <w:t>10:</w:t>
      </w:r>
      <w:r w:rsidR="000767EE" w:rsidRPr="000767EE">
        <w:rPr>
          <w:rFonts w:ascii="Arial" w:eastAsia="Arial" w:hAnsi="Arial" w:cs="Arial"/>
          <w:b/>
        </w:rPr>
        <w:t>00</w:t>
      </w:r>
      <w:r w:rsidRPr="000767EE">
        <w:rPr>
          <w:rFonts w:ascii="Arial" w:eastAsia="Arial" w:hAnsi="Arial" w:cs="Arial"/>
          <w:b/>
        </w:rPr>
        <w:t>hs (dez horas</w:t>
      </w:r>
      <w:r w:rsidRPr="000767EE">
        <w:rPr>
          <w:rFonts w:ascii="Arial" w:eastAsia="Arial" w:hAnsi="Arial" w:cs="Arial"/>
          <w:b/>
        </w:rPr>
        <w:t xml:space="preserve">) do dia </w:t>
      </w:r>
      <w:r w:rsidR="000767EE" w:rsidRPr="000767EE">
        <w:rPr>
          <w:rFonts w:ascii="Arial" w:eastAsia="Arial" w:hAnsi="Arial" w:cs="Arial"/>
          <w:b/>
        </w:rPr>
        <w:t>07</w:t>
      </w:r>
      <w:r w:rsidRPr="000767EE">
        <w:rPr>
          <w:rFonts w:ascii="Arial" w:eastAsia="Arial" w:hAnsi="Arial" w:cs="Arial"/>
          <w:b/>
        </w:rPr>
        <w:t xml:space="preserve"> de </w:t>
      </w:r>
      <w:r w:rsidR="000767EE" w:rsidRPr="000767EE">
        <w:rPr>
          <w:rFonts w:ascii="Arial" w:eastAsia="Arial" w:hAnsi="Arial" w:cs="Arial"/>
          <w:b/>
        </w:rPr>
        <w:t>abril</w:t>
      </w:r>
      <w:r w:rsidRPr="000767EE">
        <w:rPr>
          <w:rFonts w:ascii="Arial" w:eastAsia="Arial" w:hAnsi="Arial" w:cs="Arial"/>
          <w:b/>
        </w:rPr>
        <w:t xml:space="preserve"> de 2021</w:t>
      </w:r>
      <w:r>
        <w:rPr>
          <w:rFonts w:ascii="Arial" w:eastAsia="Arial" w:hAnsi="Arial" w:cs="Arial"/>
        </w:rPr>
        <w:t>, a Comissão Permanente de Licitações, na presença de proponentes ou não, procederá à abertura dos envelopes (que contenham as documentações</w:t>
      </w:r>
      <w:r>
        <w:rPr>
          <w:rFonts w:ascii="Arial" w:eastAsia="Arial" w:hAnsi="Arial" w:cs="Arial"/>
        </w:rPr>
        <w:t xml:space="preserve"> e as propostas).</w:t>
      </w:r>
    </w:p>
    <w:p w:rsidR="00F71BDE" w:rsidRDefault="00947EBF">
      <w:pPr>
        <w:numPr>
          <w:ilvl w:val="1"/>
          <w:numId w:val="2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Em virtude da pandemia do COVID-19 e visando atender as normas sanitárias em vigor, bem como preservar a saúde dos membros da Comissão Permanente de Licitação e dos licitantes, dispõe o que segue:</w:t>
      </w:r>
    </w:p>
    <w:p w:rsidR="00F71BDE" w:rsidRDefault="00947EBF">
      <w:pPr>
        <w:spacing w:line="360" w:lineRule="auto"/>
        <w:ind w:left="10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7.2.1 Apenas será permitida a presença de</w:t>
      </w:r>
      <w:r>
        <w:rPr>
          <w:rFonts w:ascii="Arial" w:eastAsia="Arial" w:hAnsi="Arial" w:cs="Arial"/>
        </w:rPr>
        <w:t xml:space="preserve"> 1 (um) representante por licitante;</w:t>
      </w:r>
    </w:p>
    <w:p w:rsidR="00F71BDE" w:rsidRDefault="00947EBF">
      <w:pPr>
        <w:spacing w:line="360" w:lineRule="auto"/>
        <w:ind w:left="10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7.2.2 O uso de máscara é obrigatório;</w:t>
      </w:r>
    </w:p>
    <w:p w:rsidR="00F71BDE" w:rsidRDefault="00947EBF">
      <w:pPr>
        <w:spacing w:line="360" w:lineRule="auto"/>
        <w:ind w:left="10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7.2.3 Serão disponibilizadas luvas aos representantes dos licitantes na entrada das dependências desta Edilidade, bem como álcool em gel;</w:t>
      </w:r>
    </w:p>
    <w:p w:rsidR="00F71BDE" w:rsidRDefault="00947EBF">
      <w:pPr>
        <w:spacing w:line="360" w:lineRule="auto"/>
        <w:ind w:left="10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7.2.4 Os licitantes deverão se acomodar em </w:t>
      </w:r>
      <w:r>
        <w:rPr>
          <w:rFonts w:ascii="Arial" w:eastAsia="Arial" w:hAnsi="Arial" w:cs="Arial"/>
        </w:rPr>
        <w:t>lugares pré-determinados na Sala de Reuniões, com o objetivo de manter o distanciamento social.</w:t>
      </w:r>
    </w:p>
    <w:p w:rsidR="00F71BDE" w:rsidRDefault="00947EBF">
      <w:pPr>
        <w:numPr>
          <w:ilvl w:val="1"/>
          <w:numId w:val="2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abertura dos envelopes se dará em ordem cronológica, qual seja: envelopes contendo as </w:t>
      </w:r>
      <w:r>
        <w:rPr>
          <w:rFonts w:ascii="Arial" w:eastAsia="Arial" w:hAnsi="Arial" w:cs="Arial"/>
          <w:u w:val="single"/>
        </w:rPr>
        <w:t>documentações</w:t>
      </w:r>
      <w:r>
        <w:rPr>
          <w:rFonts w:ascii="Arial" w:eastAsia="Arial" w:hAnsi="Arial" w:cs="Arial"/>
        </w:rPr>
        <w:t xml:space="preserve"> e envelopes contendo as </w:t>
      </w:r>
      <w:r>
        <w:rPr>
          <w:rFonts w:ascii="Arial" w:eastAsia="Arial" w:hAnsi="Arial" w:cs="Arial"/>
          <w:u w:val="single"/>
        </w:rPr>
        <w:t>propostas</w:t>
      </w:r>
      <w:r>
        <w:rPr>
          <w:rFonts w:ascii="Arial" w:eastAsia="Arial" w:hAnsi="Arial" w:cs="Arial"/>
        </w:rPr>
        <w:t xml:space="preserve">. </w:t>
      </w:r>
    </w:p>
    <w:p w:rsidR="00F71BDE" w:rsidRDefault="00947EBF">
      <w:pPr>
        <w:numPr>
          <w:ilvl w:val="1"/>
          <w:numId w:val="2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abertura dos envelop</w:t>
      </w:r>
      <w:r>
        <w:rPr>
          <w:rFonts w:ascii="Arial" w:eastAsia="Arial" w:hAnsi="Arial" w:cs="Arial"/>
        </w:rPr>
        <w:t xml:space="preserve">es contendo as propostas somente poderá ocorrer na mesma sessão de abertura dos envelopes contendo as documentações, no caso de </w:t>
      </w:r>
      <w:r>
        <w:rPr>
          <w:rFonts w:ascii="Arial" w:eastAsia="Arial" w:hAnsi="Arial" w:cs="Arial"/>
          <w:b/>
          <w:u w:val="single"/>
        </w:rPr>
        <w:t>renúncia expressa unânime</w:t>
      </w:r>
      <w:r>
        <w:rPr>
          <w:rFonts w:ascii="Arial" w:eastAsia="Arial" w:hAnsi="Arial" w:cs="Arial"/>
        </w:rPr>
        <w:t xml:space="preserve"> dos licitantes, através de </w:t>
      </w:r>
      <w:r>
        <w:rPr>
          <w:rFonts w:ascii="Arial" w:eastAsia="Arial" w:hAnsi="Arial" w:cs="Arial"/>
          <w:b/>
        </w:rPr>
        <w:t>Termo de Renúncia</w:t>
      </w:r>
      <w:r>
        <w:rPr>
          <w:rFonts w:ascii="Arial" w:eastAsia="Arial" w:hAnsi="Arial" w:cs="Arial"/>
        </w:rPr>
        <w:t xml:space="preserve"> (</w:t>
      </w:r>
      <w:r>
        <w:rPr>
          <w:rFonts w:ascii="Arial" w:eastAsia="Arial" w:hAnsi="Arial" w:cs="Arial"/>
          <w:b/>
        </w:rPr>
        <w:t>Anexo VIII</w:t>
      </w:r>
      <w:r>
        <w:rPr>
          <w:rFonts w:ascii="Arial" w:eastAsia="Arial" w:hAnsi="Arial" w:cs="Arial"/>
        </w:rPr>
        <w:t xml:space="preserve">), do direito de interpor recursos da análise </w:t>
      </w:r>
      <w:r>
        <w:rPr>
          <w:rFonts w:ascii="Arial" w:eastAsia="Arial" w:hAnsi="Arial" w:cs="Arial"/>
        </w:rPr>
        <w:t>dos documentos.</w:t>
      </w:r>
    </w:p>
    <w:p w:rsidR="00F71BDE" w:rsidRDefault="00947EBF">
      <w:pPr>
        <w:numPr>
          <w:ilvl w:val="1"/>
          <w:numId w:val="2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Não configurada a hipótese do 7.4, os licitantes serão </w:t>
      </w:r>
      <w:r>
        <w:rPr>
          <w:rFonts w:ascii="Arial" w:eastAsia="Arial" w:hAnsi="Arial" w:cs="Arial"/>
          <w:b/>
        </w:rPr>
        <w:t xml:space="preserve">informados </w:t>
      </w:r>
      <w:r>
        <w:rPr>
          <w:rFonts w:ascii="Arial" w:eastAsia="Arial" w:hAnsi="Arial" w:cs="Arial"/>
        </w:rPr>
        <w:t xml:space="preserve">na </w:t>
      </w:r>
      <w:r>
        <w:rPr>
          <w:rFonts w:ascii="Arial" w:eastAsia="Arial" w:hAnsi="Arial" w:cs="Arial"/>
          <w:b/>
        </w:rPr>
        <w:t>sessão de abertura dos envelopes</w:t>
      </w:r>
      <w:r>
        <w:rPr>
          <w:rFonts w:ascii="Arial" w:eastAsia="Arial" w:hAnsi="Arial" w:cs="Arial"/>
        </w:rPr>
        <w:t xml:space="preserve"> contendo a </w:t>
      </w:r>
      <w:r>
        <w:rPr>
          <w:rFonts w:ascii="Arial" w:eastAsia="Arial" w:hAnsi="Arial" w:cs="Arial"/>
          <w:b/>
        </w:rPr>
        <w:t>documentação</w:t>
      </w:r>
      <w:r>
        <w:rPr>
          <w:rFonts w:ascii="Arial" w:eastAsia="Arial" w:hAnsi="Arial" w:cs="Arial"/>
        </w:rPr>
        <w:t xml:space="preserve">, da </w:t>
      </w:r>
      <w:r>
        <w:rPr>
          <w:rFonts w:ascii="Arial" w:eastAsia="Arial" w:hAnsi="Arial" w:cs="Arial"/>
          <w:b/>
        </w:rPr>
        <w:t>data designada</w:t>
      </w:r>
      <w:r>
        <w:rPr>
          <w:rFonts w:ascii="Arial" w:eastAsia="Arial" w:hAnsi="Arial" w:cs="Arial"/>
        </w:rPr>
        <w:t xml:space="preserve"> para </w:t>
      </w:r>
      <w:r>
        <w:rPr>
          <w:rFonts w:ascii="Arial" w:eastAsia="Arial" w:hAnsi="Arial" w:cs="Arial"/>
          <w:b/>
        </w:rPr>
        <w:t xml:space="preserve">abertura </w:t>
      </w:r>
      <w:r>
        <w:rPr>
          <w:rFonts w:ascii="Arial" w:eastAsia="Arial" w:hAnsi="Arial" w:cs="Arial"/>
        </w:rPr>
        <w:t xml:space="preserve">dos </w:t>
      </w:r>
      <w:r>
        <w:rPr>
          <w:rFonts w:ascii="Arial" w:eastAsia="Arial" w:hAnsi="Arial" w:cs="Arial"/>
          <w:b/>
        </w:rPr>
        <w:t xml:space="preserve">envelopes </w:t>
      </w:r>
      <w:r>
        <w:rPr>
          <w:rFonts w:ascii="Arial" w:eastAsia="Arial" w:hAnsi="Arial" w:cs="Arial"/>
        </w:rPr>
        <w:t xml:space="preserve">contendo as </w:t>
      </w:r>
      <w:r>
        <w:rPr>
          <w:rFonts w:ascii="Arial" w:eastAsia="Arial" w:hAnsi="Arial" w:cs="Arial"/>
          <w:b/>
        </w:rPr>
        <w:t>propostas</w:t>
      </w:r>
      <w:r>
        <w:rPr>
          <w:rFonts w:ascii="Arial" w:eastAsia="Arial" w:hAnsi="Arial" w:cs="Arial"/>
        </w:rPr>
        <w:t>.</w:t>
      </w:r>
    </w:p>
    <w:p w:rsidR="00F71BDE" w:rsidRDefault="00947EBF">
      <w:pPr>
        <w:numPr>
          <w:ilvl w:val="1"/>
          <w:numId w:val="2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Após análise da documentação e/ou propostas,</w:t>
      </w:r>
      <w:r>
        <w:rPr>
          <w:rFonts w:ascii="Arial" w:eastAsia="Arial" w:hAnsi="Arial" w:cs="Arial"/>
        </w:rPr>
        <w:t xml:space="preserve"> será lavrada Ata que será assinada pela Comissão e licitantes presentes.</w:t>
      </w:r>
    </w:p>
    <w:p w:rsidR="00F71BDE" w:rsidRDefault="00947EBF">
      <w:pPr>
        <w:numPr>
          <w:ilvl w:val="1"/>
          <w:numId w:val="2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 empresas podem ser representadas, no processo licitatório, por procurador legalmente habilitado, desde que apresentado o instrumento procuratório, com firma reconhecida, até o iní</w:t>
      </w:r>
      <w:r>
        <w:rPr>
          <w:rFonts w:ascii="Arial" w:eastAsia="Arial" w:hAnsi="Arial" w:cs="Arial"/>
        </w:rPr>
        <w:t xml:space="preserve">cio da </w:t>
      </w:r>
      <w:r>
        <w:rPr>
          <w:rFonts w:ascii="Arial" w:eastAsia="Arial" w:hAnsi="Arial" w:cs="Arial"/>
        </w:rPr>
        <w:lastRenderedPageBreak/>
        <w:t>sessão de abertura dos envelopes ou por representante devidamente credenciado através da carta de credenciamento</w:t>
      </w:r>
      <w:r>
        <w:rPr>
          <w:rFonts w:ascii="Arial" w:eastAsia="Arial" w:hAnsi="Arial" w:cs="Arial"/>
          <w:vertAlign w:val="superscript"/>
        </w:rPr>
        <w:footnoteReference w:id="1"/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b/>
        </w:rPr>
        <w:t>Anexo VII</w:t>
      </w:r>
      <w:r>
        <w:rPr>
          <w:rFonts w:ascii="Arial" w:eastAsia="Arial" w:hAnsi="Arial" w:cs="Arial"/>
        </w:rPr>
        <w:t xml:space="preserve">). </w:t>
      </w:r>
    </w:p>
    <w:p w:rsidR="00F71BDE" w:rsidRDefault="00F71BDE">
      <w:pPr>
        <w:spacing w:line="360" w:lineRule="auto"/>
        <w:ind w:left="720" w:hanging="708"/>
        <w:jc w:val="both"/>
        <w:rPr>
          <w:rFonts w:ascii="Arial" w:eastAsia="Arial" w:hAnsi="Arial" w:cs="Arial"/>
        </w:rPr>
      </w:pPr>
    </w:p>
    <w:p w:rsidR="00F71BDE" w:rsidRDefault="00947EBF">
      <w:pPr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DOS RECURSOS </w:t>
      </w:r>
    </w:p>
    <w:p w:rsidR="00F71BDE" w:rsidRDefault="00947EBF">
      <w:pPr>
        <w:numPr>
          <w:ilvl w:val="1"/>
          <w:numId w:val="2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Os recursos eventualmente interpostos deverão encontrar-se devidamente fundamentados com as razões de fato e de direito que motivaram a insurgência do licitante e serem encaminhados à Comissão Permanente de Licitações, protocolados na Secretaria da Câmara </w:t>
      </w:r>
      <w:r>
        <w:rPr>
          <w:rFonts w:ascii="Arial" w:eastAsia="Arial" w:hAnsi="Arial" w:cs="Arial"/>
        </w:rPr>
        <w:t>Municipal da Estância Turística de Olímpia ou através do e-mail licitacao@camaraolimpia.sp.gov.br, nos termos do art. 109 da Lei nº 8.666/93;</w:t>
      </w:r>
    </w:p>
    <w:p w:rsidR="00F71BDE" w:rsidRDefault="00947EBF">
      <w:pPr>
        <w:numPr>
          <w:ilvl w:val="1"/>
          <w:numId w:val="2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Os recursos deverão ser protocolados dentro dos prazos previstos no artigo supracitado, que em se tratando de Cart</w:t>
      </w:r>
      <w:r>
        <w:rPr>
          <w:rFonts w:ascii="Arial" w:eastAsia="Arial" w:hAnsi="Arial" w:cs="Arial"/>
        </w:rPr>
        <w:t>a Convite, são reduzidos para 2 (dois) dias úteis, bem como conter a qualificação completa da licitante e do seu representante, devidamente assinados;</w:t>
      </w:r>
    </w:p>
    <w:p w:rsidR="00F71BDE" w:rsidRDefault="00947EBF">
      <w:pPr>
        <w:numPr>
          <w:ilvl w:val="1"/>
          <w:numId w:val="2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 ausência de quaisquer dos requisitos constantes dos itens 8.1 e 8.2, os recursos serão indeferidos de plano;</w:t>
      </w:r>
    </w:p>
    <w:p w:rsidR="00F71BDE" w:rsidRDefault="00947EBF">
      <w:pPr>
        <w:numPr>
          <w:ilvl w:val="1"/>
          <w:numId w:val="2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Dos recursos interpostos, na forma do §3º do art. 109 da Lei nº 8.666/93, haverá comunicação aos demais licitantes através do Diário Oficial e m</w:t>
      </w:r>
      <w:r>
        <w:rPr>
          <w:rFonts w:ascii="Arial" w:eastAsia="Arial" w:hAnsi="Arial" w:cs="Arial"/>
        </w:rPr>
        <w:t>ediante envio de e-mail;</w:t>
      </w:r>
    </w:p>
    <w:p w:rsidR="00F71BDE" w:rsidRDefault="00947EBF">
      <w:pPr>
        <w:numPr>
          <w:ilvl w:val="1"/>
          <w:numId w:val="2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 decisões serão comunicadas ao licitante insurgente e aos demais na forma do item 8.4.</w:t>
      </w:r>
    </w:p>
    <w:p w:rsidR="00F71BDE" w:rsidRDefault="00F71BDE">
      <w:pPr>
        <w:spacing w:line="360" w:lineRule="auto"/>
        <w:ind w:left="1080"/>
        <w:jc w:val="both"/>
        <w:rPr>
          <w:rFonts w:ascii="Arial" w:eastAsia="Arial" w:hAnsi="Arial" w:cs="Arial"/>
        </w:rPr>
      </w:pPr>
    </w:p>
    <w:p w:rsidR="00F71BDE" w:rsidRDefault="00947EBF">
      <w:pPr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DA HOMOLOGAÇÃO E ADJUDICAÇÃO</w:t>
      </w:r>
    </w:p>
    <w:p w:rsidR="00F71BDE" w:rsidRDefault="00947EBF">
      <w:pPr>
        <w:numPr>
          <w:ilvl w:val="1"/>
          <w:numId w:val="2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Encerrada a fase de julgamento e a classificação das propostas, e não havendo recursos protocolados pendentes de</w:t>
      </w:r>
      <w:r>
        <w:rPr>
          <w:rFonts w:ascii="Arial" w:eastAsia="Arial" w:hAnsi="Arial" w:cs="Arial"/>
        </w:rPr>
        <w:t xml:space="preserve"> decisão ou havendo, tendo sido eles decididos e comunicados ao licitante insurgente, o </w:t>
      </w:r>
      <w:r>
        <w:rPr>
          <w:rFonts w:ascii="Arial" w:eastAsia="Arial" w:hAnsi="Arial" w:cs="Arial"/>
        </w:rPr>
        <w:lastRenderedPageBreak/>
        <w:t>processo será encaminhado ao Presidente da Câmara para homologação e adjudicação.</w:t>
      </w:r>
    </w:p>
    <w:p w:rsidR="00F71BDE" w:rsidRDefault="00947EBF">
      <w:pPr>
        <w:numPr>
          <w:ilvl w:val="1"/>
          <w:numId w:val="2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Após a homologação, a adjudicatária será convocada para, no prazo de até 3 (três) dias</w:t>
      </w:r>
      <w:r>
        <w:rPr>
          <w:rFonts w:ascii="Arial" w:eastAsia="Arial" w:hAnsi="Arial" w:cs="Arial"/>
        </w:rPr>
        <w:t xml:space="preserve"> úteis do recebimento do aviso, assinar o contrato para a formalização dos compromissos.</w:t>
      </w:r>
    </w:p>
    <w:p w:rsidR="00F71BDE" w:rsidRDefault="00947EBF">
      <w:pPr>
        <w:numPr>
          <w:ilvl w:val="1"/>
          <w:numId w:val="2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 não comparecimento da adjudicatária no prazo concedido para assinatura do contrato implicará na perda de direito à contratação, sem prejuízo das sanções legais cabív</w:t>
      </w:r>
      <w:r>
        <w:rPr>
          <w:rFonts w:ascii="Arial" w:eastAsia="Arial" w:hAnsi="Arial" w:cs="Arial"/>
        </w:rPr>
        <w:t>eis.</w:t>
      </w:r>
    </w:p>
    <w:p w:rsidR="00F71BDE" w:rsidRDefault="00947EBF">
      <w:pPr>
        <w:numPr>
          <w:ilvl w:val="1"/>
          <w:numId w:val="2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homologação do resultado desta licitação não obriga a administração à contratação do objeto licitado.</w:t>
      </w:r>
    </w:p>
    <w:p w:rsidR="00F71BDE" w:rsidRDefault="00F71BDE">
      <w:pPr>
        <w:spacing w:line="360" w:lineRule="auto"/>
        <w:ind w:left="1080" w:hanging="708"/>
        <w:jc w:val="both"/>
        <w:rPr>
          <w:rFonts w:ascii="Arial" w:eastAsia="Arial" w:hAnsi="Arial" w:cs="Arial"/>
        </w:rPr>
      </w:pPr>
    </w:p>
    <w:p w:rsidR="00F71BDE" w:rsidRDefault="00947EBF">
      <w:pPr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DA EXECUÇÃO, INEXECUÇÃO E RESCISÃO CONTRATUAL</w:t>
      </w:r>
    </w:p>
    <w:p w:rsidR="00F71BDE" w:rsidRDefault="00947EBF">
      <w:pPr>
        <w:numPr>
          <w:ilvl w:val="1"/>
          <w:numId w:val="2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Os contratos serão executados de acordo com as condições estabelecidas neste edital e no </w:t>
      </w:r>
      <w:r>
        <w:rPr>
          <w:rFonts w:ascii="Arial" w:eastAsia="Arial" w:hAnsi="Arial" w:cs="Arial"/>
          <w:b/>
        </w:rPr>
        <w:t>Termo de Re</w:t>
      </w:r>
      <w:r>
        <w:rPr>
          <w:rFonts w:ascii="Arial" w:eastAsia="Arial" w:hAnsi="Arial" w:cs="Arial"/>
          <w:b/>
        </w:rPr>
        <w:t>ferência (Anexo I)</w:t>
      </w:r>
      <w:r>
        <w:rPr>
          <w:rFonts w:ascii="Arial" w:eastAsia="Arial" w:hAnsi="Arial" w:cs="Arial"/>
        </w:rPr>
        <w:t>.</w:t>
      </w:r>
    </w:p>
    <w:p w:rsidR="00F71BDE" w:rsidRDefault="00947EBF">
      <w:pPr>
        <w:numPr>
          <w:ilvl w:val="1"/>
          <w:numId w:val="2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Poderão ser aceitas, subsidiariamente, a critério da administração, condições de execução contratual previstas na proposta do fornecedor, desde que não colidam com as do edital.</w:t>
      </w:r>
    </w:p>
    <w:p w:rsidR="00F71BDE" w:rsidRDefault="00947EBF">
      <w:pPr>
        <w:numPr>
          <w:ilvl w:val="1"/>
          <w:numId w:val="2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contratada ficará sujeita às seguintes penalidades:</w:t>
      </w:r>
    </w:p>
    <w:p w:rsidR="00F71BDE" w:rsidRDefault="00947EBF">
      <w:pPr>
        <w:numPr>
          <w:ilvl w:val="0"/>
          <w:numId w:val="3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Adve</w:t>
      </w:r>
      <w:r>
        <w:rPr>
          <w:rFonts w:ascii="Arial" w:eastAsia="Arial" w:hAnsi="Arial" w:cs="Arial"/>
        </w:rPr>
        <w:t>rtência;</w:t>
      </w:r>
    </w:p>
    <w:p w:rsidR="00F71BDE" w:rsidRDefault="00947EBF">
      <w:pPr>
        <w:numPr>
          <w:ilvl w:val="0"/>
          <w:numId w:val="3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Suspensão temporária de participar de licitações e impedimento de contratar com esta Câmara Municipal, por até 2 (dois) anos.</w:t>
      </w:r>
    </w:p>
    <w:p w:rsidR="00F71BDE" w:rsidRDefault="00947EBF">
      <w:pPr>
        <w:numPr>
          <w:ilvl w:val="0"/>
          <w:numId w:val="3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Declaração de inidoneidade para licitar ou contratar com a administração pública.</w:t>
      </w:r>
    </w:p>
    <w:p w:rsidR="00F71BDE" w:rsidRDefault="00947EBF">
      <w:pPr>
        <w:numPr>
          <w:ilvl w:val="1"/>
          <w:numId w:val="2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Além das expressas no edital, poderão ser impostas outras penalidades previstas nos </w:t>
      </w:r>
      <w:proofErr w:type="spellStart"/>
      <w:r>
        <w:rPr>
          <w:rFonts w:ascii="Arial" w:eastAsia="Arial" w:hAnsi="Arial" w:cs="Arial"/>
        </w:rPr>
        <w:t>Arts</w:t>
      </w:r>
      <w:proofErr w:type="spellEnd"/>
      <w:r>
        <w:rPr>
          <w:rFonts w:ascii="Arial" w:eastAsia="Arial" w:hAnsi="Arial" w:cs="Arial"/>
        </w:rPr>
        <w:t xml:space="preserve"> 86, 87 e 88 da Lei Federal 8.666/93.</w:t>
      </w:r>
    </w:p>
    <w:p w:rsidR="00F71BDE" w:rsidRDefault="00947EBF">
      <w:pPr>
        <w:numPr>
          <w:ilvl w:val="1"/>
          <w:numId w:val="2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inexecução total ou parcial do contrato poderá</w:t>
      </w:r>
      <w:r>
        <w:rPr>
          <w:rFonts w:ascii="Arial" w:eastAsia="Arial" w:hAnsi="Arial" w:cs="Arial"/>
        </w:rPr>
        <w:t xml:space="preserve"> ensejar sua rescisão, nos casos enumerados nos </w:t>
      </w:r>
      <w:proofErr w:type="spellStart"/>
      <w:r>
        <w:rPr>
          <w:rFonts w:ascii="Arial" w:eastAsia="Arial" w:hAnsi="Arial" w:cs="Arial"/>
        </w:rPr>
        <w:t>Arts</w:t>
      </w:r>
      <w:proofErr w:type="spellEnd"/>
      <w:r>
        <w:rPr>
          <w:rFonts w:ascii="Arial" w:eastAsia="Arial" w:hAnsi="Arial" w:cs="Arial"/>
        </w:rPr>
        <w:t>. 78, 79 e 80 da Lei Federal 8.666/93, sem prejuízo das sanções legais cabíveis.</w:t>
      </w:r>
    </w:p>
    <w:p w:rsidR="00F71BDE" w:rsidRDefault="00F71BDE">
      <w:pPr>
        <w:spacing w:line="360" w:lineRule="auto"/>
        <w:jc w:val="both"/>
        <w:rPr>
          <w:rFonts w:ascii="Arial" w:eastAsia="Arial" w:hAnsi="Arial" w:cs="Arial"/>
        </w:rPr>
      </w:pPr>
    </w:p>
    <w:p w:rsidR="00F71BDE" w:rsidRDefault="00947EBF">
      <w:pPr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DO PAGAMENTO</w:t>
      </w:r>
    </w:p>
    <w:p w:rsidR="00F71BDE" w:rsidRDefault="00947EBF">
      <w:pPr>
        <w:numPr>
          <w:ilvl w:val="1"/>
          <w:numId w:val="2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Os pagamentos serão efetuados através de crédito em conta corrente da CONTRATADA ou de boleto bancário, em at</w:t>
      </w:r>
      <w:r>
        <w:rPr>
          <w:rFonts w:ascii="Arial" w:eastAsia="Arial" w:hAnsi="Arial" w:cs="Arial"/>
        </w:rPr>
        <w:t>é 5 (cinco) dias úteis</w:t>
      </w:r>
      <w:r w:rsidR="000767EE">
        <w:rPr>
          <w:rFonts w:ascii="Arial" w:eastAsia="Arial" w:hAnsi="Arial" w:cs="Arial"/>
        </w:rPr>
        <w:t xml:space="preserve"> </w:t>
      </w:r>
      <w:r w:rsidR="000767EE">
        <w:rPr>
          <w:rFonts w:ascii="Arial" w:eastAsia="Arial" w:hAnsi="Arial" w:cs="Arial"/>
        </w:rPr>
        <w:lastRenderedPageBreak/>
        <w:t>nos casos de dispensa do artigo 24, inciso II e em até 30 (trinta) dias úteis</w:t>
      </w:r>
      <w:r>
        <w:rPr>
          <w:rFonts w:ascii="Arial" w:eastAsia="Arial" w:hAnsi="Arial" w:cs="Arial"/>
        </w:rPr>
        <w:t xml:space="preserve"> após a </w:t>
      </w:r>
      <w:r w:rsidR="000767EE">
        <w:rPr>
          <w:rFonts w:ascii="Arial" w:eastAsia="Arial" w:hAnsi="Arial" w:cs="Arial"/>
        </w:rPr>
        <w:t>apresentação</w:t>
      </w:r>
      <w:r>
        <w:rPr>
          <w:rFonts w:ascii="Arial" w:eastAsia="Arial" w:hAnsi="Arial" w:cs="Arial"/>
        </w:rPr>
        <w:t xml:space="preserve"> da Nota Fiscal/Fatura </w:t>
      </w:r>
      <w:r w:rsidR="000767EE">
        <w:rPr>
          <w:rFonts w:ascii="Arial" w:eastAsia="Arial" w:hAnsi="Arial" w:cs="Arial"/>
        </w:rPr>
        <w:t>nos demais casos.</w:t>
      </w:r>
    </w:p>
    <w:p w:rsidR="00F71BDE" w:rsidRDefault="000767EE">
      <w:pPr>
        <w:numPr>
          <w:ilvl w:val="1"/>
          <w:numId w:val="2"/>
        </w:numPr>
        <w:spacing w:line="360" w:lineRule="auto"/>
        <w:jc w:val="both"/>
        <w:rPr>
          <w:rFonts w:ascii="Arial" w:eastAsia="Arial" w:hAnsi="Arial" w:cs="Arial"/>
        </w:rPr>
      </w:pPr>
      <w:r w:rsidRPr="009E1A51">
        <w:rPr>
          <w:rFonts w:ascii="Arial" w:eastAsia="Arial" w:hAnsi="Arial" w:cs="Arial"/>
        </w:rPr>
        <w:t>O prazo acima disposto se inicia na apresentação da Nota Fiscal/Fatura pelo fornecedor em conjunto com o termo de recebimento definitivo da prestação dos serviços elaborado pelo gestor de contratos</w:t>
      </w:r>
      <w:r w:rsidR="009E1A51">
        <w:rPr>
          <w:rFonts w:ascii="Arial" w:eastAsia="Arial" w:hAnsi="Arial" w:cs="Arial"/>
        </w:rPr>
        <w:t>.</w:t>
      </w:r>
    </w:p>
    <w:p w:rsidR="009E1A51" w:rsidRDefault="009E1A51">
      <w:pPr>
        <w:numPr>
          <w:ilvl w:val="1"/>
          <w:numId w:val="2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falta de pagamento não isentará a Licitante de responsabilidade da efetiva prestação de serviços descritos no Anexo I.</w:t>
      </w:r>
    </w:p>
    <w:p w:rsidR="00F71BDE" w:rsidRDefault="00947EBF">
      <w:pPr>
        <w:numPr>
          <w:ilvl w:val="1"/>
          <w:numId w:val="2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 não pagamento da fatur</w:t>
      </w:r>
      <w:r>
        <w:rPr>
          <w:rFonts w:ascii="Arial" w:eastAsia="Arial" w:hAnsi="Arial" w:cs="Arial"/>
        </w:rPr>
        <w:t>a apresentada nas condições previstas sujeitará a CONTRATANTE à atualização financeira dos valores a serem pagos, desde a data final do período de adimplemento de cada parcela até a data do efetivo pagamento.</w:t>
      </w:r>
    </w:p>
    <w:p w:rsidR="00F71BDE" w:rsidRDefault="00F71BDE">
      <w:pPr>
        <w:spacing w:line="360" w:lineRule="auto"/>
        <w:jc w:val="both"/>
        <w:rPr>
          <w:rFonts w:ascii="Arial" w:eastAsia="Arial" w:hAnsi="Arial" w:cs="Arial"/>
        </w:rPr>
      </w:pPr>
    </w:p>
    <w:p w:rsidR="00F71BDE" w:rsidRDefault="00947EBF">
      <w:pPr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DISPOSIÇÕES GERAIS</w:t>
      </w:r>
    </w:p>
    <w:p w:rsidR="00F71BDE" w:rsidRDefault="00947EBF">
      <w:pPr>
        <w:numPr>
          <w:ilvl w:val="1"/>
          <w:numId w:val="2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Fica fazendo parte integran</w:t>
      </w:r>
      <w:r>
        <w:rPr>
          <w:rFonts w:ascii="Arial" w:eastAsia="Arial" w:hAnsi="Arial" w:cs="Arial"/>
        </w:rPr>
        <w:t>te deste Edital:</w:t>
      </w:r>
    </w:p>
    <w:p w:rsidR="00F71BDE" w:rsidRDefault="00947EBF">
      <w:pPr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ANEXO I – TERMO DE REFERÊNCIA</w:t>
      </w:r>
    </w:p>
    <w:p w:rsidR="00F71BDE" w:rsidRDefault="00947EBF">
      <w:pPr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ANEXO II – MINUTA DO CONTRATO</w:t>
      </w:r>
    </w:p>
    <w:p w:rsidR="00F71BDE" w:rsidRDefault="00947EBF">
      <w:pPr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ANEXO III – DECLARAÇÃO DE REGULARIDADE JUNTO AO MINISTÉRIO DO TRABALHO</w:t>
      </w:r>
    </w:p>
    <w:p w:rsidR="00F71BDE" w:rsidRDefault="00947EBF">
      <w:pPr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ANEXO IV – DECLARAÇÃO DE INEXISTÊNCIA DE FATO SUPERVENIENTE</w:t>
      </w:r>
    </w:p>
    <w:p w:rsidR="00F71BDE" w:rsidRDefault="00947EBF">
      <w:pPr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ANEXO V - DECLARAÇÃO ME/EPP</w:t>
      </w:r>
    </w:p>
    <w:p w:rsidR="00F71BDE" w:rsidRDefault="00947EBF">
      <w:pPr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ANEXO VI – FORMULÁRI</w:t>
      </w:r>
      <w:r>
        <w:rPr>
          <w:rFonts w:ascii="Arial" w:eastAsia="Arial" w:hAnsi="Arial" w:cs="Arial"/>
        </w:rPr>
        <w:t>O DE PROPOSTA</w:t>
      </w:r>
    </w:p>
    <w:p w:rsidR="00F71BDE" w:rsidRDefault="00947EBF">
      <w:pPr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ANEXO VII - CARTA DE CREDENCIAMENTO</w:t>
      </w:r>
    </w:p>
    <w:p w:rsidR="00F71BDE" w:rsidRDefault="00947EBF">
      <w:pPr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ANEXO VIII – TERMO DE RENÚNCIA</w:t>
      </w:r>
    </w:p>
    <w:p w:rsidR="00F71BDE" w:rsidRDefault="00F71BDE">
      <w:pPr>
        <w:tabs>
          <w:tab w:val="left" w:pos="3402"/>
        </w:tabs>
        <w:spacing w:line="360" w:lineRule="auto"/>
        <w:jc w:val="center"/>
        <w:rPr>
          <w:rFonts w:ascii="Arial" w:eastAsia="Arial" w:hAnsi="Arial" w:cs="Arial"/>
          <w:b/>
        </w:rPr>
      </w:pPr>
      <w:bookmarkStart w:id="4" w:name="_heading=h.1fob9te" w:colFirst="0" w:colLast="0"/>
      <w:bookmarkEnd w:id="4"/>
    </w:p>
    <w:p w:rsidR="00F71BDE" w:rsidRDefault="00947EBF">
      <w:pPr>
        <w:tabs>
          <w:tab w:val="left" w:pos="3402"/>
        </w:tabs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Olímpia/SP, </w:t>
      </w:r>
      <w:r w:rsidR="009E1A51">
        <w:rPr>
          <w:rFonts w:ascii="Arial" w:eastAsia="Arial" w:hAnsi="Arial" w:cs="Arial"/>
          <w:b/>
        </w:rPr>
        <w:t>26</w:t>
      </w:r>
      <w:r>
        <w:rPr>
          <w:rFonts w:ascii="Arial" w:eastAsia="Arial" w:hAnsi="Arial" w:cs="Arial"/>
          <w:b/>
        </w:rPr>
        <w:t xml:space="preserve"> de </w:t>
      </w:r>
      <w:r w:rsidR="009E1A51">
        <w:rPr>
          <w:rFonts w:ascii="Arial" w:eastAsia="Arial" w:hAnsi="Arial" w:cs="Arial"/>
          <w:b/>
        </w:rPr>
        <w:t>março</w:t>
      </w:r>
      <w:r>
        <w:rPr>
          <w:rFonts w:ascii="Arial" w:eastAsia="Arial" w:hAnsi="Arial" w:cs="Arial"/>
          <w:b/>
        </w:rPr>
        <w:t xml:space="preserve"> de 2021.</w:t>
      </w:r>
    </w:p>
    <w:p w:rsidR="00F71BDE" w:rsidRDefault="00F71BDE">
      <w:pPr>
        <w:tabs>
          <w:tab w:val="left" w:pos="3402"/>
        </w:tabs>
        <w:spacing w:line="360" w:lineRule="auto"/>
        <w:rPr>
          <w:rFonts w:ascii="Arial" w:eastAsia="Arial" w:hAnsi="Arial" w:cs="Arial"/>
          <w:b/>
        </w:rPr>
      </w:pPr>
    </w:p>
    <w:p w:rsidR="00F71BDE" w:rsidRDefault="00F71BDE">
      <w:pPr>
        <w:tabs>
          <w:tab w:val="left" w:pos="3402"/>
        </w:tabs>
        <w:spacing w:line="360" w:lineRule="auto"/>
        <w:rPr>
          <w:rFonts w:ascii="Arial" w:eastAsia="Arial" w:hAnsi="Arial" w:cs="Arial"/>
          <w:b/>
        </w:rPr>
      </w:pPr>
      <w:bookmarkStart w:id="5" w:name="_GoBack"/>
      <w:bookmarkEnd w:id="5"/>
    </w:p>
    <w:p w:rsidR="00F71BDE" w:rsidRDefault="00947EBF" w:rsidP="009E1A51">
      <w:pPr>
        <w:tabs>
          <w:tab w:val="left" w:pos="3402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         JOSÉ ROBERTO PIMENTA</w:t>
      </w:r>
    </w:p>
    <w:p w:rsidR="00F71BDE" w:rsidRDefault="00947EBF" w:rsidP="009E1A51">
      <w:pPr>
        <w:tabs>
          <w:tab w:val="left" w:pos="3402"/>
        </w:tabs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 xml:space="preserve">                    PRESIDENTE DA CÂMARA</w:t>
      </w:r>
    </w:p>
    <w:sectPr w:rsidR="00F71BDE" w:rsidSect="009E1A51">
      <w:headerReference w:type="default" r:id="rId8"/>
      <w:footerReference w:type="default" r:id="rId9"/>
      <w:pgSz w:w="11901" w:h="16834"/>
      <w:pgMar w:top="2552" w:right="1134" w:bottom="1134" w:left="2268" w:header="851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EBF" w:rsidRDefault="00947EBF">
      <w:r>
        <w:separator/>
      </w:r>
    </w:p>
  </w:endnote>
  <w:endnote w:type="continuationSeparator" w:id="0">
    <w:p w:rsidR="00947EBF" w:rsidRDefault="00947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BDE" w:rsidRDefault="00F71BD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Times New Roman" w:eastAsia="Times New Roman" w:hAnsi="Times New Roman" w:cs="Times New Roman"/>
        <w:b/>
        <w:color w:val="000080"/>
        <w:sz w:val="16"/>
        <w:szCs w:val="16"/>
      </w:rPr>
    </w:pPr>
  </w:p>
  <w:p w:rsidR="00F71BDE" w:rsidRDefault="00F71BD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Times New Roman" w:eastAsia="Times New Roman" w:hAnsi="Times New Roman" w:cs="Times New Roman"/>
        <w:b/>
        <w:color w:val="000080"/>
        <w:sz w:val="16"/>
        <w:szCs w:val="16"/>
      </w:rPr>
    </w:pPr>
  </w:p>
  <w:p w:rsidR="00F71BDE" w:rsidRDefault="00947EB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Times New Roman" w:eastAsia="Times New Roman" w:hAnsi="Times New Roman" w:cs="Times New Roman"/>
        <w:b/>
        <w:color w:val="000080"/>
        <w:sz w:val="16"/>
        <w:szCs w:val="16"/>
      </w:rPr>
    </w:pPr>
    <w:r>
      <w:rPr>
        <w:rFonts w:ascii="Times New Roman" w:eastAsia="Times New Roman" w:hAnsi="Times New Roman" w:cs="Times New Roman"/>
        <w:b/>
        <w:color w:val="000080"/>
        <w:sz w:val="16"/>
        <w:szCs w:val="16"/>
      </w:rPr>
      <w:t>Praça João Fossalussa,867 –Olímpia–SP – CEP 15400-000 – Fone (17) 3279-3999 - www.camaraolimpia.sp.gov.br</w:t>
    </w:r>
  </w:p>
  <w:p w:rsidR="00F71BDE" w:rsidRDefault="00947EB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Times New Roman" w:eastAsia="Times New Roman" w:hAnsi="Times New Roman" w:cs="Times New Roman"/>
        <w:b/>
        <w:color w:val="000080"/>
        <w:sz w:val="16"/>
        <w:szCs w:val="16"/>
      </w:rPr>
    </w:pPr>
    <w:r>
      <w:rPr>
        <w:rFonts w:ascii="Times New Roman" w:eastAsia="Times New Roman" w:hAnsi="Times New Roman" w:cs="Times New Roman"/>
        <w:b/>
        <w:color w:val="000080"/>
        <w:sz w:val="16"/>
        <w:szCs w:val="16"/>
      </w:rPr>
      <w:t xml:space="preserve">CNPJ. 51.359.818/0001-36 </w:t>
    </w:r>
  </w:p>
  <w:p w:rsidR="00F71BDE" w:rsidRDefault="00947EB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Times New Roman" w:eastAsia="Times New Roman" w:hAnsi="Times New Roman" w:cs="Times New Roman"/>
        <w:b/>
        <w:color w:val="000080"/>
        <w:sz w:val="18"/>
        <w:szCs w:val="18"/>
      </w:rPr>
    </w:pPr>
    <w:r>
      <w:rPr>
        <w:rFonts w:ascii="Times New Roman" w:eastAsia="Times New Roman" w:hAnsi="Times New Roman" w:cs="Times New Roman"/>
        <w:b/>
        <w:color w:val="0000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EBF" w:rsidRDefault="00947EBF">
      <w:r>
        <w:separator/>
      </w:r>
    </w:p>
  </w:footnote>
  <w:footnote w:type="continuationSeparator" w:id="0">
    <w:p w:rsidR="00947EBF" w:rsidRDefault="00947EBF">
      <w:r>
        <w:continuationSeparator/>
      </w:r>
    </w:p>
  </w:footnote>
  <w:footnote w:id="1">
    <w:p w:rsidR="00F71BDE" w:rsidRDefault="00947EBF">
      <w:pPr>
        <w:spacing w:line="360" w:lineRule="auto"/>
        <w:jc w:val="both"/>
        <w:rPr>
          <w:i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Carta de credenciamento</w:t>
      </w:r>
      <w:r>
        <w:rPr>
          <w:sz w:val="20"/>
          <w:szCs w:val="20"/>
        </w:rPr>
        <w:t>: deverá ser preenchida com os dados da pessoa que irá participar do certame e assinada pelo prop</w:t>
      </w:r>
      <w:r>
        <w:rPr>
          <w:sz w:val="20"/>
          <w:szCs w:val="20"/>
        </w:rPr>
        <w:t>onente e deverá ser entregue à Comissão na abertura da sessão, sem estar envelopada.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BDE" w:rsidRDefault="00947EB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3.65pt;margin-top:.55pt;width:69.65pt;height:1in;z-index:251657728;visibility:visible;mso-wrap-edited:f;mso-position-horizontal:absolute;mso-position-horizontal-relative:margin;mso-position-vertical:absolute;mso-position-vertical-relative:text" o:allowincell="f">
          <v:imagedata r:id="rId1" o:title=""/>
          <w10:wrap anchorx="margin"/>
        </v:shape>
        <o:OLEObject Type="Embed" ProgID="Word.Picture.8" ShapeID="_x0000_s2049" DrawAspect="Content" ObjectID="_1678268900" r:id="rId2"/>
      </w:object>
    </w:r>
  </w:p>
  <w:p w:rsidR="00F71BDE" w:rsidRDefault="00947EB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Times New Roman" w:eastAsia="Times New Roman" w:hAnsi="Times New Roman" w:cs="Times New Roman"/>
        <w:b/>
        <w:i/>
        <w:color w:val="000080"/>
        <w:sz w:val="32"/>
        <w:szCs w:val="32"/>
      </w:rPr>
    </w:pPr>
    <w:r>
      <w:rPr>
        <w:rFonts w:ascii="Times New Roman" w:eastAsia="Times New Roman" w:hAnsi="Times New Roman" w:cs="Times New Roman"/>
        <w:b/>
        <w:i/>
        <w:color w:val="000080"/>
        <w:sz w:val="48"/>
        <w:szCs w:val="48"/>
      </w:rPr>
      <w:t xml:space="preserve">  </w:t>
    </w:r>
    <w:r>
      <w:rPr>
        <w:rFonts w:ascii="Times New Roman" w:eastAsia="Times New Roman" w:hAnsi="Times New Roman" w:cs="Times New Roman"/>
        <w:b/>
        <w:i/>
        <w:color w:val="000080"/>
        <w:sz w:val="32"/>
        <w:szCs w:val="32"/>
      </w:rPr>
      <w:t>Câmara Municipal da Estância Turística de Olímpia</w:t>
    </w:r>
  </w:p>
  <w:p w:rsidR="00F71BDE" w:rsidRDefault="00947EB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Times New Roman" w:eastAsia="Times New Roman" w:hAnsi="Times New Roman" w:cs="Times New Roman"/>
        <w:b/>
        <w:color w:val="000000"/>
      </w:rPr>
    </w:pPr>
    <w:r>
      <w:rPr>
        <w:rFonts w:ascii="Times New Roman" w:eastAsia="Times New Roman" w:hAnsi="Times New Roman" w:cs="Times New Roman"/>
        <w:color w:val="000080"/>
        <w:sz w:val="48"/>
        <w:szCs w:val="48"/>
      </w:rPr>
      <w:t xml:space="preserve">      </w:t>
    </w:r>
    <w:r>
      <w:rPr>
        <w:rFonts w:ascii="Times New Roman" w:eastAsia="Times New Roman" w:hAnsi="Times New Roman" w:cs="Times New Roman"/>
        <w:b/>
        <w:color w:val="000080"/>
      </w:rPr>
      <w:t>“</w:t>
    </w:r>
    <w:r>
      <w:rPr>
        <w:rFonts w:ascii="Times New Roman" w:eastAsia="Times New Roman" w:hAnsi="Times New Roman" w:cs="Times New Roman"/>
        <w:b/>
        <w:i/>
        <w:color w:val="000080"/>
      </w:rPr>
      <w:t>Capital Nacional do Folclore e Terra de Águas Quentes</w:t>
    </w:r>
    <w:r>
      <w:rPr>
        <w:rFonts w:ascii="Times New Roman" w:eastAsia="Times New Roman" w:hAnsi="Times New Roman" w:cs="Times New Roman"/>
        <w:b/>
        <w:color w:val="000080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B524F"/>
    <w:multiLevelType w:val="multilevel"/>
    <w:tmpl w:val="F21CCE94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800" w:hanging="1440"/>
      </w:pPr>
    </w:lvl>
    <w:lvl w:ilvl="5">
      <w:start w:val="1"/>
      <w:numFmt w:val="decimal"/>
      <w:lvlText w:val="%1.%2.%3.%4.%5.%6"/>
      <w:lvlJc w:val="left"/>
      <w:pPr>
        <w:ind w:left="2160" w:hanging="1800"/>
      </w:pPr>
    </w:lvl>
    <w:lvl w:ilvl="6">
      <w:start w:val="1"/>
      <w:numFmt w:val="decimal"/>
      <w:lvlText w:val="%1.%2.%3.%4.%5.%6.%7"/>
      <w:lvlJc w:val="left"/>
      <w:pPr>
        <w:ind w:left="2520" w:hanging="2160"/>
      </w:pPr>
    </w:lvl>
    <w:lvl w:ilvl="7">
      <w:start w:val="1"/>
      <w:numFmt w:val="decimal"/>
      <w:lvlText w:val="%1.%2.%3.%4.%5.%6.%7.%8"/>
      <w:lvlJc w:val="left"/>
      <w:pPr>
        <w:ind w:left="2520" w:hanging="2160"/>
      </w:pPr>
    </w:lvl>
    <w:lvl w:ilvl="8">
      <w:start w:val="1"/>
      <w:numFmt w:val="decimal"/>
      <w:lvlText w:val="%1.%2.%3.%4.%5.%6.%7.%8.%9"/>
      <w:lvlJc w:val="left"/>
      <w:pPr>
        <w:ind w:left="2880" w:hanging="2520"/>
      </w:pPr>
    </w:lvl>
  </w:abstractNum>
  <w:abstractNum w:abstractNumId="1" w15:restartNumberingAfterBreak="0">
    <w:nsid w:val="5D071D65"/>
    <w:multiLevelType w:val="multilevel"/>
    <w:tmpl w:val="C46A8AE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C291E"/>
    <w:multiLevelType w:val="multilevel"/>
    <w:tmpl w:val="1E9814A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11E21"/>
    <w:multiLevelType w:val="multilevel"/>
    <w:tmpl w:val="14B00AD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BDE"/>
    <w:rsid w:val="000767EE"/>
    <w:rsid w:val="00101D76"/>
    <w:rsid w:val="00947EBF"/>
    <w:rsid w:val="009E1A51"/>
    <w:rsid w:val="00F7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61D7085"/>
  <w15:docId w15:val="{D1EA32FB-2CDC-4660-895A-7064B327C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C5A1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5A12"/>
    <w:rPr>
      <w:rFonts w:ascii="Tahoma" w:hAnsi="Tahoma" w:cs="Tahoma"/>
      <w:sz w:val="16"/>
      <w:szCs w:val="16"/>
    </w:rPr>
  </w:style>
  <w:style w:type="character" w:customStyle="1" w:styleId="label">
    <w:name w:val="label"/>
    <w:rsid w:val="001728EE"/>
  </w:style>
  <w:style w:type="character" w:styleId="Hyperlink">
    <w:name w:val="Hyperlink"/>
    <w:uiPriority w:val="99"/>
    <w:semiHidden/>
    <w:unhideWhenUsed/>
    <w:rsid w:val="00F96EB9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8B4EF3"/>
    <w:pPr>
      <w:jc w:val="both"/>
    </w:pPr>
    <w:rPr>
      <w:rFonts w:ascii="Times New Roman" w:hAnsi="Times New Roman"/>
      <w:sz w:val="26"/>
    </w:rPr>
  </w:style>
  <w:style w:type="character" w:customStyle="1" w:styleId="Corpodetexto3Char">
    <w:name w:val="Corpo de texto 3 Char"/>
    <w:link w:val="Corpodetexto3"/>
    <w:rsid w:val="008B4EF3"/>
    <w:rPr>
      <w:sz w:val="26"/>
    </w:rPr>
  </w:style>
  <w:style w:type="paragraph" w:styleId="Recuodecorpodetexto">
    <w:name w:val="Body Text Indent"/>
    <w:basedOn w:val="Normal"/>
    <w:link w:val="RecuodecorpodetextoChar"/>
    <w:rsid w:val="008B4EF3"/>
    <w:pPr>
      <w:spacing w:after="120"/>
      <w:ind w:left="283"/>
    </w:pPr>
    <w:rPr>
      <w:rFonts w:ascii="Times New Roman" w:hAnsi="Times New Roman"/>
      <w:sz w:val="20"/>
    </w:rPr>
  </w:style>
  <w:style w:type="character" w:customStyle="1" w:styleId="RecuodecorpodetextoChar">
    <w:name w:val="Recuo de corpo de texto Char"/>
    <w:basedOn w:val="Fontepargpadro"/>
    <w:link w:val="Recuodecorpodetexto"/>
    <w:rsid w:val="008B4EF3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9E1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ad85N46wBiEtmdPNmgXZamQlMA==">AMUW2mUsg5dqPUa4+lH/gQWN7ifLhqSw75B7S+pA1lOnFytAO5xGaBzWg9SJ9dLE/nJAK4Zz2410ijYmPbAaNQ9/FbrwVIaXLvTKGkCoBE8P3CVsJ14xj1y334jRZfoSVOzG23e7QhVpsTzpJc16C8dZHs1RzD5tLTYO1uq1kvSTiHbQVXwBkBgq97y906w44ixtEr7LJCwo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2214</Words>
  <Characters>11961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FEREZIN</dc:creator>
  <cp:lastModifiedBy>Liamar</cp:lastModifiedBy>
  <cp:revision>2</cp:revision>
  <dcterms:created xsi:type="dcterms:W3CDTF">2021-03-11T13:58:00Z</dcterms:created>
  <dcterms:modified xsi:type="dcterms:W3CDTF">2021-03-26T16:02:00Z</dcterms:modified>
</cp:coreProperties>
</file>