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3D13" w14:textId="77777777" w:rsidR="00A72B0E" w:rsidRDefault="00A72B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C84DA3F" w14:textId="77777777" w:rsidR="00A72B0E" w:rsidRDefault="00A72B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FB55C48" w14:textId="77777777" w:rsidR="00A72B0E" w:rsidRDefault="005D7127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ABERTURA E JULGAMENTO DAS PROPOSTAS À TOMADA DE PREÇOS N° 01/2021, DESTINADA A CONTRATAÇÃO DE EMPRESA ESPECIALIZADA EM SERVIÇOS DE MANUTENÇÃO PREDIAL E CONSTRUÇÃO CIVIL, INCLUINDO O FORNECIMENTO DE MÃO-DE-OBRA, MATERIAIS, EQUIPAMENTOS E INSUMOS NECE</w:t>
      </w:r>
      <w:r>
        <w:rPr>
          <w:rFonts w:ascii="Arial" w:eastAsia="Arial" w:hAnsi="Arial" w:cs="Arial"/>
          <w:b/>
        </w:rPr>
        <w:t>SSÁRIOS À EXECUÇÃO DOS SERVIÇOS DE REFORMA NAS DEPENDÊNCIAS DO PRÉDIO DA CÂMARA MUNICIPAL DA ESTÂNCIA TURÍSTICA DE OLÍMPIA, REALIZADA NO DIA 05 (CINCO) DE NOVEMBRO DE 2021.</w:t>
      </w:r>
    </w:p>
    <w:p w14:paraId="4BA2153D" w14:textId="77777777" w:rsidR="00A72B0E" w:rsidRDefault="00A72B0E">
      <w:pPr>
        <w:spacing w:line="360" w:lineRule="auto"/>
        <w:jc w:val="both"/>
        <w:rPr>
          <w:rFonts w:ascii="Arial" w:eastAsia="Arial" w:hAnsi="Arial" w:cs="Arial"/>
        </w:rPr>
      </w:pPr>
    </w:p>
    <w:p w14:paraId="2415B242" w14:textId="77777777" w:rsidR="00A72B0E" w:rsidRDefault="00A72B0E">
      <w:pPr>
        <w:spacing w:line="360" w:lineRule="auto"/>
        <w:jc w:val="both"/>
        <w:rPr>
          <w:rFonts w:ascii="Arial" w:eastAsia="Arial" w:hAnsi="Arial" w:cs="Arial"/>
        </w:rPr>
      </w:pPr>
    </w:p>
    <w:p w14:paraId="6F64536F" w14:textId="5E874D34" w:rsidR="00A72B0E" w:rsidRDefault="005D7127">
      <w:pPr>
        <w:spacing w:line="360" w:lineRule="auto"/>
        <w:ind w:firstLine="34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Aos 05 (cinco) dias do mês de novembro do ano de 2021, </w:t>
      </w:r>
      <w:r>
        <w:rPr>
          <w:rFonts w:ascii="Arial" w:eastAsia="Arial" w:hAnsi="Arial" w:cs="Arial"/>
          <w:highlight w:val="white"/>
        </w:rPr>
        <w:t>às 09:10 (nove horas e dez</w:t>
      </w:r>
      <w:r>
        <w:rPr>
          <w:rFonts w:ascii="Arial" w:eastAsia="Arial" w:hAnsi="Arial" w:cs="Arial"/>
          <w:highlight w:val="white"/>
        </w:rPr>
        <w:t xml:space="preserve"> minutos),</w:t>
      </w:r>
      <w:r>
        <w:rPr>
          <w:rFonts w:ascii="Arial" w:eastAsia="Arial" w:hAnsi="Arial" w:cs="Arial"/>
        </w:rPr>
        <w:t xml:space="preserve"> no Plenário da Câmara Municipal da Estância Turística de Olímpia, Estado de São Paulo, situada na Praça João Fossalussa, 867, Centro, onde se achavam presentes a Presidente da Comissão Permanente de Licitações da Câmara Municipal de Olímpia/SP, </w:t>
      </w:r>
      <w:r>
        <w:rPr>
          <w:rFonts w:ascii="Arial" w:eastAsia="Arial" w:hAnsi="Arial" w:cs="Arial"/>
        </w:rPr>
        <w:t xml:space="preserve">Maria Aparecida Souza Vicente, e os membros Daniel Antunes Gotardo e Mariluci de Lourdes Recco Garcia, acompanhados dos servidores, Jean </w:t>
      </w:r>
      <w:proofErr w:type="spellStart"/>
      <w:r>
        <w:rPr>
          <w:rFonts w:ascii="Arial" w:eastAsia="Arial" w:hAnsi="Arial" w:cs="Arial"/>
        </w:rPr>
        <w:t>Kelver</w:t>
      </w:r>
      <w:proofErr w:type="spellEnd"/>
      <w:r>
        <w:rPr>
          <w:rFonts w:ascii="Arial" w:eastAsia="Arial" w:hAnsi="Arial" w:cs="Arial"/>
        </w:rPr>
        <w:t xml:space="preserve"> Vieira Garcia, Procurador Jurídico, Luís Cesar </w:t>
      </w:r>
      <w:proofErr w:type="spellStart"/>
      <w:r>
        <w:rPr>
          <w:rFonts w:ascii="Arial" w:eastAsia="Arial" w:hAnsi="Arial" w:cs="Arial"/>
        </w:rPr>
        <w:t>Rombaiolo</w:t>
      </w:r>
      <w:proofErr w:type="spellEnd"/>
      <w:r>
        <w:rPr>
          <w:rFonts w:ascii="Arial" w:eastAsia="Arial" w:hAnsi="Arial" w:cs="Arial"/>
        </w:rPr>
        <w:t xml:space="preserve">, Assistente Técnico, </w:t>
      </w:r>
      <w:proofErr w:type="spellStart"/>
      <w:r>
        <w:rPr>
          <w:rFonts w:ascii="Arial" w:eastAsia="Arial" w:hAnsi="Arial" w:cs="Arial"/>
        </w:rPr>
        <w:t>Liamar</w:t>
      </w:r>
      <w:proofErr w:type="spellEnd"/>
      <w:r>
        <w:rPr>
          <w:rFonts w:ascii="Arial" w:eastAsia="Arial" w:hAnsi="Arial" w:cs="Arial"/>
        </w:rPr>
        <w:t xml:space="preserve"> Aparecida </w:t>
      </w:r>
      <w:proofErr w:type="spellStart"/>
      <w:r>
        <w:rPr>
          <w:rFonts w:ascii="Arial" w:eastAsia="Arial" w:hAnsi="Arial" w:cs="Arial"/>
        </w:rPr>
        <w:t>Veroneze</w:t>
      </w:r>
      <w:proofErr w:type="spellEnd"/>
      <w:r>
        <w:rPr>
          <w:rFonts w:ascii="Arial" w:eastAsia="Arial" w:hAnsi="Arial" w:cs="Arial"/>
        </w:rPr>
        <w:t xml:space="preserve"> Corrêa, </w:t>
      </w:r>
      <w:r>
        <w:rPr>
          <w:rFonts w:ascii="Arial" w:eastAsia="Arial" w:hAnsi="Arial" w:cs="Arial"/>
        </w:rPr>
        <w:t xml:space="preserve">Diretora Administrativo Financeiro, Paula </w:t>
      </w:r>
      <w:proofErr w:type="spellStart"/>
      <w:r>
        <w:rPr>
          <w:rFonts w:ascii="Arial" w:eastAsia="Arial" w:hAnsi="Arial" w:cs="Arial"/>
        </w:rPr>
        <w:t>Gottardo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Sache</w:t>
      </w:r>
      <w:r w:rsidR="002944C8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tim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Controller</w:t>
      </w:r>
      <w:proofErr w:type="spellEnd"/>
      <w:r>
        <w:rPr>
          <w:rFonts w:ascii="Arial" w:eastAsia="Arial" w:hAnsi="Arial" w:cs="Arial"/>
        </w:rPr>
        <w:t xml:space="preserve">, José </w:t>
      </w:r>
      <w:proofErr w:type="spellStart"/>
      <w:r>
        <w:rPr>
          <w:rFonts w:ascii="Arial" w:eastAsia="Arial" w:hAnsi="Arial" w:cs="Arial"/>
        </w:rPr>
        <w:t>Antonio</w:t>
      </w:r>
      <w:proofErr w:type="spellEnd"/>
      <w:r>
        <w:rPr>
          <w:rFonts w:ascii="Arial" w:eastAsia="Arial" w:hAnsi="Arial" w:cs="Arial"/>
        </w:rPr>
        <w:t xml:space="preserve"> Borges Xavier, Contador, e Victor Hugo Braga, engenheiro representante da Câmara.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Assim, foi dado início pela Comissão Licitante aos trabalhos de abertura dos envelopes n</w:t>
      </w:r>
      <w:r>
        <w:rPr>
          <w:rFonts w:ascii="Arial" w:eastAsia="Arial" w:hAnsi="Arial" w:cs="Arial"/>
        </w:rPr>
        <w:t>° 02 de propostas, da Tomada de Preços Nº 01/2021. Com a palavra a Presidente da Comissão comunicou que foi dado o prazo legal para apresentação de recurso e que nenhuma licitante se manifestou. A seguir, foi dado início a abertura dos envelopes n° 02, das</w:t>
      </w:r>
      <w:r>
        <w:rPr>
          <w:rFonts w:ascii="Arial" w:eastAsia="Arial" w:hAnsi="Arial" w:cs="Arial"/>
        </w:rPr>
        <w:t xml:space="preserve"> empresas habilitadas na data de 22 de outubro de 2021, quais sejam, DEDRA COMÉRCIO E CONSTRUÇÕES LTDA EPP e MLS GERENCIAMENTO DE OBRAS LTDA EPP. Na ocasião, encontram-se presentes os Srs. </w:t>
      </w:r>
      <w:proofErr w:type="spellStart"/>
      <w:r>
        <w:rPr>
          <w:rFonts w:ascii="Arial" w:eastAsia="Arial" w:hAnsi="Arial" w:cs="Arial"/>
        </w:rPr>
        <w:t>Luis</w:t>
      </w:r>
      <w:proofErr w:type="spellEnd"/>
      <w:r>
        <w:rPr>
          <w:rFonts w:ascii="Arial" w:eastAsia="Arial" w:hAnsi="Arial" w:cs="Arial"/>
        </w:rPr>
        <w:t xml:space="preserve"> Carlos Anselmo Siqueira e Joice </w:t>
      </w:r>
      <w:proofErr w:type="spellStart"/>
      <w:r>
        <w:rPr>
          <w:rFonts w:ascii="Arial" w:eastAsia="Arial" w:hAnsi="Arial" w:cs="Arial"/>
        </w:rPr>
        <w:t>Speridião</w:t>
      </w:r>
      <w:proofErr w:type="spellEnd"/>
      <w:r>
        <w:rPr>
          <w:rFonts w:ascii="Arial" w:eastAsia="Arial" w:hAnsi="Arial" w:cs="Arial"/>
        </w:rPr>
        <w:t xml:space="preserve"> Rodrigues, represent</w:t>
      </w:r>
      <w:r>
        <w:rPr>
          <w:rFonts w:ascii="Arial" w:eastAsia="Arial" w:hAnsi="Arial" w:cs="Arial"/>
        </w:rPr>
        <w:t xml:space="preserve">antes da empresa MLS GERENCIAMENTO DE OBRAS LTDA EPP e </w:t>
      </w:r>
      <w:r>
        <w:rPr>
          <w:rFonts w:ascii="Arial" w:eastAsia="Arial" w:hAnsi="Arial" w:cs="Arial"/>
        </w:rPr>
        <w:lastRenderedPageBreak/>
        <w:t>o Sr. João Alberto Zaccarelli, representante da empresa DEDRA COMÉRCIO E CONSTRUÇÕES LTDA EPP.  Desse modo, após o exame das propostas pela Comissão de Licitações, bem como pelo contador e engenheiro r</w:t>
      </w:r>
      <w:r>
        <w:rPr>
          <w:rFonts w:ascii="Arial" w:eastAsia="Arial" w:hAnsi="Arial" w:cs="Arial"/>
        </w:rPr>
        <w:t>esponsável pela Câmara, foi constatado o seguinte resultado: A empresa DEDRA COMÉRCIO E CONSTRUÇÕES LTDA EPP apresentou a proposta no valor de R$ 434.156,25 (quatrocentos e trinta e quatro mil, cento e cinquenta e seis reais e vinte e cinco centavos). A em</w:t>
      </w:r>
      <w:r>
        <w:rPr>
          <w:rFonts w:ascii="Arial" w:eastAsia="Arial" w:hAnsi="Arial" w:cs="Arial"/>
        </w:rPr>
        <w:t>presa MLS GERENCIAMENTO DE OBRAS LTDA EPP, que apresentou a proposta no valor de R$ 402.484,11 (quatrocentos e dois mil, quatrocentos e oitenta e quatro reais e onze centavos). Sendo assim, e tendo em vista que após a análise de ambas propostas as mesmas f</w:t>
      </w:r>
      <w:r>
        <w:rPr>
          <w:rFonts w:ascii="Arial" w:eastAsia="Arial" w:hAnsi="Arial" w:cs="Arial"/>
        </w:rPr>
        <w:t>oram consideradas regulares, pois cumpriram todas as exigências contidas no edital, a Presidente da Comissão de Licitações consultou os representantes das empresas presentes se os mesmos abririam mão de interposição de recurso.  Após consulta, todos os lic</w:t>
      </w:r>
      <w:r>
        <w:rPr>
          <w:rFonts w:ascii="Arial" w:eastAsia="Arial" w:hAnsi="Arial" w:cs="Arial"/>
        </w:rPr>
        <w:t xml:space="preserve">itantes se manifestaram por escrito, assinando o Termo de Renúncia de Interposição de Recurso, nos termos do artigo 109, inciso I, alínea “b”, da Lei 8.666/93.  Sendo assim, a Presidente da Comissão de Licitações </w:t>
      </w:r>
      <w:r>
        <w:rPr>
          <w:rFonts w:ascii="Arial" w:eastAsia="Arial" w:hAnsi="Arial" w:cs="Arial"/>
          <w:b/>
        </w:rPr>
        <w:t>DECLARA</w:t>
      </w:r>
      <w:r>
        <w:rPr>
          <w:rFonts w:ascii="Arial" w:eastAsia="Arial" w:hAnsi="Arial" w:cs="Arial"/>
        </w:rPr>
        <w:t xml:space="preserve"> vencedora do certame a empresa </w:t>
      </w:r>
      <w:r>
        <w:rPr>
          <w:rFonts w:ascii="Arial" w:eastAsia="Arial" w:hAnsi="Arial" w:cs="Arial"/>
          <w:b/>
        </w:rPr>
        <w:t xml:space="preserve">MLS </w:t>
      </w:r>
      <w:r>
        <w:rPr>
          <w:rFonts w:ascii="Arial" w:eastAsia="Arial" w:hAnsi="Arial" w:cs="Arial"/>
          <w:b/>
        </w:rPr>
        <w:t>GERENCIAMENTO DE OBRAS LTDA EPP</w:t>
      </w:r>
      <w:r>
        <w:rPr>
          <w:rFonts w:ascii="Arial" w:eastAsia="Arial" w:hAnsi="Arial" w:cs="Arial"/>
        </w:rPr>
        <w:t xml:space="preserve">, que apresentou menor valor global de </w:t>
      </w:r>
      <w:r>
        <w:rPr>
          <w:rFonts w:ascii="Arial" w:eastAsia="Arial" w:hAnsi="Arial" w:cs="Arial"/>
          <w:b/>
        </w:rPr>
        <w:t>R$ 402.484,11 (quatrocentos e dois mil, quatrocentos e oitenta e quatro reais e onze centavos)</w:t>
      </w:r>
      <w:r>
        <w:rPr>
          <w:rFonts w:ascii="Arial" w:eastAsia="Arial" w:hAnsi="Arial" w:cs="Arial"/>
        </w:rPr>
        <w:t>. Realizados os demais esclarecimentos e nada mais havendo a tratar, foram encerrados os tra</w:t>
      </w:r>
      <w:r>
        <w:rPr>
          <w:rFonts w:ascii="Arial" w:eastAsia="Arial" w:hAnsi="Arial" w:cs="Arial"/>
        </w:rPr>
        <w:t>balhos do que, para constar, foi lavrada a presente Ata, que lida e achada conforme, vai assinada pelos presentes e será disponibilizada no site oficial da Câmara Municipal e no mural. Por fim, a Comissão de Licitações determinou o encerramento dos trabalh</w:t>
      </w:r>
      <w:r>
        <w:rPr>
          <w:rFonts w:ascii="Arial" w:eastAsia="Arial" w:hAnsi="Arial" w:cs="Arial"/>
        </w:rPr>
        <w:t>os.</w:t>
      </w:r>
    </w:p>
    <w:p w14:paraId="76E1B1C5" w14:textId="77777777" w:rsidR="00A72B0E" w:rsidRDefault="00A72B0E">
      <w:pPr>
        <w:keepNext/>
        <w:tabs>
          <w:tab w:val="left" w:pos="3402"/>
        </w:tabs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6DDADC" w14:textId="77777777" w:rsidR="00A72B0E" w:rsidRDefault="00A72B0E">
      <w:pPr>
        <w:keepNext/>
        <w:tabs>
          <w:tab w:val="left" w:pos="3402"/>
        </w:tabs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849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3750"/>
      </w:tblGrid>
      <w:tr w:rsidR="00A72B0E" w14:paraId="764D0112" w14:textId="77777777">
        <w:trPr>
          <w:jc w:val="center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1358" w14:textId="77777777" w:rsidR="00A72B0E" w:rsidRDefault="005D7127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MARIA APARECIDA SOUZA VICENTE</w:t>
            </w:r>
          </w:p>
          <w:p w14:paraId="435D069D" w14:textId="77777777" w:rsidR="00A72B0E" w:rsidRDefault="005D7127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PRESIDENTE DA C. P. LICITAÇÃO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813C" w14:textId="77777777" w:rsidR="00A72B0E" w:rsidRDefault="005D7127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DANIEL ANTUNES GOTARDO </w:t>
            </w:r>
          </w:p>
          <w:p w14:paraId="6711D095" w14:textId="77777777" w:rsidR="00A72B0E" w:rsidRDefault="005D7127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MEMBRO  </w:t>
            </w:r>
          </w:p>
          <w:p w14:paraId="317BD2A6" w14:textId="77777777" w:rsidR="00A72B0E" w:rsidRDefault="00A72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72B0E" w14:paraId="65FD8287" w14:textId="77777777">
        <w:trPr>
          <w:jc w:val="center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F66B" w14:textId="77777777" w:rsidR="00A72B0E" w:rsidRDefault="00A72B0E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BB0297C" w14:textId="77777777" w:rsidR="00A72B0E" w:rsidRDefault="005D7127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MARILUCI DE LOURDES RECCO GARCIA</w:t>
            </w:r>
          </w:p>
          <w:p w14:paraId="70343FE1" w14:textId="77777777" w:rsidR="00A72B0E" w:rsidRDefault="005D7127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MEMBRO</w:t>
            </w:r>
          </w:p>
          <w:p w14:paraId="1F8396AC" w14:textId="77777777" w:rsidR="00A72B0E" w:rsidRDefault="00A72B0E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08BF" w14:textId="77777777" w:rsidR="00A72B0E" w:rsidRDefault="00A72B0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EB44D11" w14:textId="77777777" w:rsidR="00A72B0E" w:rsidRDefault="005D712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LUÍS CÉSAR ROMBAIOLO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>TÉCNICO ADMINISTRATIVO</w:t>
            </w:r>
          </w:p>
        </w:tc>
      </w:tr>
      <w:tr w:rsidR="00A72B0E" w14:paraId="24C198C6" w14:textId="77777777">
        <w:trPr>
          <w:jc w:val="center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70E6" w14:textId="77777777" w:rsidR="00A72B0E" w:rsidRDefault="00A72B0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F490B10" w14:textId="77777777" w:rsidR="00A72B0E" w:rsidRDefault="005D7127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LIAMAR APARECIDA VERONEZE CORRÊA</w:t>
            </w:r>
          </w:p>
          <w:p w14:paraId="503A20AE" w14:textId="77777777" w:rsidR="00A72B0E" w:rsidRDefault="005D712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DIRETORA ADMINISTRATIVO FINANCEIRO</w:t>
            </w:r>
          </w:p>
          <w:p w14:paraId="61049212" w14:textId="77777777" w:rsidR="00A72B0E" w:rsidRDefault="00A72B0E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94BC" w14:textId="77777777" w:rsidR="00A72B0E" w:rsidRDefault="00A72B0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8AA9BC2" w14:textId="77777777" w:rsidR="00A72B0E" w:rsidRDefault="005D712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PAULA GOTTARDO SACHETIN</w:t>
            </w:r>
          </w:p>
          <w:p w14:paraId="04262272" w14:textId="77777777" w:rsidR="00A72B0E" w:rsidRDefault="005D712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CONTROLLER</w:t>
            </w:r>
          </w:p>
          <w:p w14:paraId="46040F09" w14:textId="77777777" w:rsidR="00A72B0E" w:rsidRDefault="00A72B0E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72B0E" w14:paraId="3061C2C2" w14:textId="77777777">
        <w:trPr>
          <w:jc w:val="center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A8DD" w14:textId="77777777" w:rsidR="00A72B0E" w:rsidRDefault="00A72B0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710451" w14:textId="77777777" w:rsidR="00A72B0E" w:rsidRDefault="005D712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JOSÉ ANTONIO BORGES XAVIER</w:t>
            </w:r>
          </w:p>
          <w:p w14:paraId="45BF960E" w14:textId="77777777" w:rsidR="00A72B0E" w:rsidRDefault="005D712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CONTADOR</w:t>
            </w:r>
          </w:p>
          <w:p w14:paraId="61EC7006" w14:textId="77777777" w:rsidR="00A72B0E" w:rsidRDefault="00A72B0E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8752" w14:textId="77777777" w:rsidR="00A72B0E" w:rsidRDefault="00A72B0E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E5E3944" w14:textId="77777777" w:rsidR="00A72B0E" w:rsidRDefault="005D7127">
            <w:pPr>
              <w:keepNext/>
              <w:tabs>
                <w:tab w:val="left" w:pos="3402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JEAN KELVER VIEIRA GARCIA</w:t>
            </w:r>
          </w:p>
          <w:p w14:paraId="7FC7D5CB" w14:textId="77777777" w:rsidR="00A72B0E" w:rsidRDefault="005D712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PROCURADOR JURÍDICO</w:t>
            </w:r>
          </w:p>
        </w:tc>
      </w:tr>
    </w:tbl>
    <w:p w14:paraId="3179699D" w14:textId="77777777" w:rsidR="00A72B0E" w:rsidRDefault="00A72B0E">
      <w:pPr>
        <w:keepNext/>
        <w:tabs>
          <w:tab w:val="left" w:pos="3402"/>
        </w:tabs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D57D69" w14:textId="77777777" w:rsidR="00A72B0E" w:rsidRDefault="005D712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VITOR HUGO BRAGA</w:t>
      </w:r>
    </w:p>
    <w:p w14:paraId="2E38E2A9" w14:textId="77777777" w:rsidR="00A72B0E" w:rsidRDefault="005D712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ENGENHEIRO RESPONSÁVEL PELA CÂMARA</w:t>
      </w:r>
    </w:p>
    <w:p w14:paraId="575C4C1A" w14:textId="77777777" w:rsidR="00A72B0E" w:rsidRDefault="00A72B0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E07211" w14:textId="77777777" w:rsidR="00A72B0E" w:rsidRDefault="00A72B0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928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A72B0E" w14:paraId="72A08A04" w14:textId="77777777">
        <w:trPr>
          <w:trHeight w:val="544"/>
          <w:jc w:val="center"/>
        </w:trPr>
        <w:tc>
          <w:tcPr>
            <w:tcW w:w="9286" w:type="dxa"/>
          </w:tcPr>
          <w:p w14:paraId="5F84A9E0" w14:textId="77777777" w:rsidR="00A72B0E" w:rsidRDefault="005D712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LUIS CARLOS ANSELMO SIQUEIRA</w:t>
            </w:r>
          </w:p>
          <w:p w14:paraId="7F75DCF3" w14:textId="77777777" w:rsidR="00A72B0E" w:rsidRDefault="005D712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REPRESENTANTE MLS GERENCIAMENTO DE OBRAS LTDA EPP</w:t>
            </w:r>
          </w:p>
          <w:p w14:paraId="67AA49AA" w14:textId="77777777" w:rsidR="00A72B0E" w:rsidRDefault="00A72B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AD8F479" w14:textId="77777777" w:rsidR="00A72B0E" w:rsidRDefault="00A72B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0278725" w14:textId="77777777" w:rsidR="00A72B0E" w:rsidRDefault="00A72B0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7787154" w14:textId="77777777" w:rsidR="00A72B0E" w:rsidRDefault="005D712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JOICE SPERIDIÃO RODRIGUES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  <w:t>REPRESENTANTE MLS GERENCIAMENTO DE OBRAS LTDA EPP</w:t>
            </w:r>
          </w:p>
        </w:tc>
      </w:tr>
      <w:tr w:rsidR="00A72B0E" w14:paraId="6CC40FEB" w14:textId="77777777">
        <w:trPr>
          <w:trHeight w:val="544"/>
          <w:jc w:val="center"/>
        </w:trPr>
        <w:tc>
          <w:tcPr>
            <w:tcW w:w="9286" w:type="dxa"/>
          </w:tcPr>
          <w:p w14:paraId="13DBA7E1" w14:textId="77777777" w:rsidR="00A72B0E" w:rsidRDefault="00A72B0E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8A39884" w14:textId="77777777" w:rsidR="00A72B0E" w:rsidRDefault="00A72B0E">
      <w:pPr>
        <w:spacing w:line="360" w:lineRule="auto"/>
      </w:pPr>
    </w:p>
    <w:sectPr w:rsidR="00A72B0E">
      <w:headerReference w:type="default" r:id="rId7"/>
      <w:footerReference w:type="default" r:id="rId8"/>
      <w:pgSz w:w="11901" w:h="16834"/>
      <w:pgMar w:top="2694" w:right="1134" w:bottom="1134" w:left="2268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39812" w14:textId="77777777" w:rsidR="005D7127" w:rsidRDefault="005D7127">
      <w:r>
        <w:separator/>
      </w:r>
    </w:p>
  </w:endnote>
  <w:endnote w:type="continuationSeparator" w:id="0">
    <w:p w14:paraId="280F952D" w14:textId="77777777" w:rsidR="005D7127" w:rsidRDefault="005D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5F8F" w14:textId="77777777" w:rsidR="00A72B0E" w:rsidRDefault="00A72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</w:p>
  <w:p w14:paraId="7E5BBE0C" w14:textId="77777777" w:rsidR="00A72B0E" w:rsidRDefault="00A72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</w:p>
  <w:p w14:paraId="2096CF0B" w14:textId="77777777" w:rsidR="00A72B0E" w:rsidRDefault="005D71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80"/>
        <w:sz w:val="16"/>
        <w:szCs w:val="16"/>
      </w:rPr>
      <w:t>Praça João Fossalussa,867 –Olímpia–SP – CEP 15400-000 – Fone (17) 3279-3999 - www.camaraolimpia.sp.gov.br</w:t>
    </w:r>
  </w:p>
  <w:p w14:paraId="54919610" w14:textId="77777777" w:rsidR="00A72B0E" w:rsidRDefault="005D71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80"/>
        <w:sz w:val="16"/>
        <w:szCs w:val="16"/>
      </w:rPr>
      <w:t xml:space="preserve">CNPJ. 51.359.818/0001-36 </w:t>
    </w:r>
  </w:p>
  <w:p w14:paraId="7036BF13" w14:textId="77777777" w:rsidR="00A72B0E" w:rsidRDefault="005D71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8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E5B45" w14:textId="77777777" w:rsidR="005D7127" w:rsidRDefault="005D7127">
      <w:r>
        <w:separator/>
      </w:r>
    </w:p>
  </w:footnote>
  <w:footnote w:type="continuationSeparator" w:id="0">
    <w:p w14:paraId="77620F32" w14:textId="77777777" w:rsidR="005D7127" w:rsidRDefault="005D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6EFD" w14:textId="77777777" w:rsidR="00A72B0E" w:rsidRDefault="005D71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object w:dxaOrig="1440" w:dyaOrig="1440" w14:anchorId="2EBB3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8.75pt;margin-top:-12pt;width:69.65pt;height:1in;z-index:251657728;visibility:visible;mso-wrap-edited:f;mso-position-horizontal:absolute;mso-position-horizontal-relative:margin;mso-position-vertical:absolute;mso-position-vertical-relative:text" o:allowincell="f">
          <v:imagedata r:id="rId1" o:title=""/>
          <w10:wrap anchorx="margin"/>
        </v:shape>
        <o:OLEObject Type="Embed" ProgID="Word.Picture.8" ShapeID="_x0000_s2049" DrawAspect="Content" ObjectID="_1697620920" r:id="rId2"/>
      </w:object>
    </w:r>
  </w:p>
  <w:p w14:paraId="7EFBAF1B" w14:textId="77777777" w:rsidR="00A72B0E" w:rsidRDefault="005D71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i/>
        <w:color w:val="000080"/>
        <w:sz w:val="36"/>
        <w:szCs w:val="36"/>
      </w:rPr>
    </w:pPr>
    <w:r>
      <w:rPr>
        <w:rFonts w:ascii="Times New Roman" w:eastAsia="Times New Roman" w:hAnsi="Times New Roman" w:cs="Times New Roman"/>
        <w:b/>
        <w:i/>
        <w:color w:val="000080"/>
        <w:sz w:val="36"/>
        <w:szCs w:val="36"/>
      </w:rPr>
      <w:t>Câmara Municipal da Estância Turística de Olímpia</w:t>
    </w:r>
  </w:p>
  <w:p w14:paraId="18799ECA" w14:textId="77777777" w:rsidR="00A72B0E" w:rsidRDefault="005D71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color w:val="000080"/>
        <w:sz w:val="48"/>
        <w:szCs w:val="48"/>
      </w:rPr>
      <w:t xml:space="preserve">      </w:t>
    </w:r>
    <w:r>
      <w:rPr>
        <w:rFonts w:ascii="Times New Roman" w:eastAsia="Times New Roman" w:hAnsi="Times New Roman" w:cs="Times New Roman"/>
        <w:b/>
        <w:color w:val="000080"/>
      </w:rPr>
      <w:t>“</w:t>
    </w:r>
    <w:r>
      <w:rPr>
        <w:rFonts w:ascii="Times New Roman" w:eastAsia="Times New Roman" w:hAnsi="Times New Roman" w:cs="Times New Roman"/>
        <w:b/>
        <w:i/>
        <w:color w:val="000080"/>
      </w:rPr>
      <w:t>Capital Nacional do Folclore e Terra de Águas Quentes</w:t>
    </w:r>
    <w:r>
      <w:rPr>
        <w:rFonts w:ascii="Times New Roman" w:eastAsia="Times New Roman" w:hAnsi="Times New Roman" w:cs="Times New Roman"/>
        <w:b/>
        <w:color w:val="00008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0E"/>
    <w:rsid w:val="002944C8"/>
    <w:rsid w:val="0032379C"/>
    <w:rsid w:val="005D7127"/>
    <w:rsid w:val="00782277"/>
    <w:rsid w:val="00A72B0E"/>
    <w:rsid w:val="00B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55B153"/>
  <w15:docId w15:val="{D8E4A7A8-66CC-4D2E-BB99-78B15F64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5A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5A12"/>
    <w:rPr>
      <w:rFonts w:ascii="Tahoma" w:hAnsi="Tahoma" w:cs="Tahoma"/>
      <w:sz w:val="16"/>
      <w:szCs w:val="16"/>
    </w:rPr>
  </w:style>
  <w:style w:type="character" w:customStyle="1" w:styleId="label">
    <w:name w:val="label"/>
    <w:rsid w:val="001728EE"/>
  </w:style>
  <w:style w:type="character" w:styleId="Hyperlink">
    <w:name w:val="Hyperlink"/>
    <w:uiPriority w:val="99"/>
    <w:semiHidden/>
    <w:unhideWhenUsed/>
    <w:rsid w:val="00F96EB9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8B4EF3"/>
    <w:pPr>
      <w:jc w:val="both"/>
    </w:pPr>
    <w:rPr>
      <w:rFonts w:ascii="Times New Roman" w:hAnsi="Times New Roman"/>
      <w:sz w:val="26"/>
    </w:rPr>
  </w:style>
  <w:style w:type="character" w:customStyle="1" w:styleId="Corpodetexto3Char">
    <w:name w:val="Corpo de texto 3 Char"/>
    <w:link w:val="Corpodetexto3"/>
    <w:rsid w:val="008B4EF3"/>
    <w:rPr>
      <w:sz w:val="26"/>
    </w:rPr>
  </w:style>
  <w:style w:type="paragraph" w:styleId="Recuodecorpodetexto">
    <w:name w:val="Body Text Indent"/>
    <w:basedOn w:val="Normal"/>
    <w:link w:val="RecuodecorpodetextoChar"/>
    <w:rsid w:val="008B4EF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B4EF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290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290A"/>
    <w:rPr>
      <w:rFonts w:ascii="Courier New" w:hAnsi="Courier New"/>
    </w:rPr>
  </w:style>
  <w:style w:type="character" w:styleId="Refdenotaderodap">
    <w:name w:val="footnote reference"/>
    <w:basedOn w:val="Fontepargpadro"/>
    <w:uiPriority w:val="99"/>
    <w:semiHidden/>
    <w:unhideWhenUsed/>
    <w:rsid w:val="00EE290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cF5xOoT4D6KpgigYwkMKutugw==">AMUW2mVD//udrLGfgmYiVJd55NB58gJTiYVNRBNqVKmKIt2CVpm/8hC/QOd0/n5eRIWQVmcwtst8pEpiYJA+olCPKULqNd8RgxrXkEAFhqU3zrHfjrAKUkU=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Marinari</dc:creator>
  <cp:lastModifiedBy>Cidinha</cp:lastModifiedBy>
  <cp:revision>5</cp:revision>
  <dcterms:created xsi:type="dcterms:W3CDTF">2021-11-05T15:32:00Z</dcterms:created>
  <dcterms:modified xsi:type="dcterms:W3CDTF">2021-11-05T15:36:00Z</dcterms:modified>
</cp:coreProperties>
</file>