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B7" w:rsidRDefault="007A45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A45B7" w:rsidRDefault="00BA7DA0">
      <w:pPr>
        <w:spacing w:line="360" w:lineRule="auto"/>
        <w:jc w:val="center"/>
        <w:rPr>
          <w:rFonts w:ascii="Arial" w:eastAsia="Arial" w:hAnsi="Arial" w:cs="Arial"/>
          <w:b/>
          <w:u w:val="single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b/>
          <w:u w:val="single"/>
        </w:rPr>
        <w:t>EDITAL 03/2021 (REPUBLICAÇÃO)</w:t>
      </w:r>
    </w:p>
    <w:p w:rsidR="007A45B7" w:rsidRDefault="00BA7DA0">
      <w:pPr>
        <w:spacing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CARTA CONVITE nº 03/2021</w:t>
      </w:r>
    </w:p>
    <w:p w:rsidR="007A45B7" w:rsidRDefault="00BA7DA0">
      <w:pPr>
        <w:spacing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PROCESSO ADMINISTRATIVO 08/2021</w:t>
      </w:r>
    </w:p>
    <w:p w:rsidR="007A45B7" w:rsidRDefault="007A45B7">
      <w:pPr>
        <w:spacing w:line="360" w:lineRule="auto"/>
        <w:jc w:val="both"/>
        <w:rPr>
          <w:rFonts w:ascii="Arial" w:eastAsia="Arial" w:hAnsi="Arial" w:cs="Arial"/>
        </w:rPr>
      </w:pPr>
    </w:p>
    <w:p w:rsidR="007A45B7" w:rsidRDefault="007A45B7">
      <w:pPr>
        <w:spacing w:line="360" w:lineRule="auto"/>
        <w:jc w:val="both"/>
        <w:rPr>
          <w:rFonts w:ascii="Arial" w:eastAsia="Arial" w:hAnsi="Arial" w:cs="Arial"/>
        </w:rPr>
      </w:pPr>
    </w:p>
    <w:p w:rsidR="007A45B7" w:rsidRDefault="00BA7DA0">
      <w:pPr>
        <w:spacing w:line="360" w:lineRule="auto"/>
        <w:ind w:firstLine="34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Câmara Municipal da Estância Turística de Olímpia, através do seu Presidente, convida as empresas interessadas para oferecerem propostas destinadas à licitação, na modalidade </w:t>
      </w:r>
      <w:r>
        <w:rPr>
          <w:rFonts w:ascii="Arial" w:eastAsia="Arial" w:hAnsi="Arial" w:cs="Arial"/>
          <w:b/>
          <w:u w:val="single"/>
        </w:rPr>
        <w:t>CONVITE</w:t>
      </w:r>
      <w:r>
        <w:rPr>
          <w:rFonts w:ascii="Arial" w:eastAsia="Arial" w:hAnsi="Arial" w:cs="Arial"/>
        </w:rPr>
        <w:t xml:space="preserve">, do tipo </w:t>
      </w:r>
      <w:r>
        <w:rPr>
          <w:rFonts w:ascii="Arial" w:eastAsia="Arial" w:hAnsi="Arial" w:cs="Arial"/>
          <w:b/>
        </w:rPr>
        <w:t>Menor Preço Por Item</w:t>
      </w:r>
      <w:r>
        <w:rPr>
          <w:rFonts w:ascii="Arial" w:eastAsia="Arial" w:hAnsi="Arial" w:cs="Arial"/>
        </w:rPr>
        <w:t>, que se regerá pela Lei Federal nº 8.666,</w:t>
      </w:r>
      <w:r>
        <w:rPr>
          <w:rFonts w:ascii="Arial" w:eastAsia="Arial" w:hAnsi="Arial" w:cs="Arial"/>
        </w:rPr>
        <w:t xml:space="preserve"> de 21 de junho de 1993, e suas atualizações posteriores, assegurando às Empresas ME ou EPP, o direito de preferência previsto nos </w:t>
      </w:r>
      <w:proofErr w:type="spellStart"/>
      <w:r>
        <w:rPr>
          <w:rFonts w:ascii="Arial" w:eastAsia="Arial" w:hAnsi="Arial" w:cs="Arial"/>
        </w:rPr>
        <w:t>arts</w:t>
      </w:r>
      <w:proofErr w:type="spellEnd"/>
      <w:r>
        <w:rPr>
          <w:rFonts w:ascii="Arial" w:eastAsia="Arial" w:hAnsi="Arial" w:cs="Arial"/>
        </w:rPr>
        <w:t xml:space="preserve">. 44 e 45 da LC n° 123/06, bem como da participação exclusiva extraída dos </w:t>
      </w:r>
      <w:proofErr w:type="spellStart"/>
      <w:r>
        <w:rPr>
          <w:rFonts w:ascii="Arial" w:eastAsia="Arial" w:hAnsi="Arial" w:cs="Arial"/>
        </w:rPr>
        <w:t>arts</w:t>
      </w:r>
      <w:proofErr w:type="spellEnd"/>
      <w:r>
        <w:rPr>
          <w:rFonts w:ascii="Arial" w:eastAsia="Arial" w:hAnsi="Arial" w:cs="Arial"/>
        </w:rPr>
        <w:t>. 48 e 49 da LC nº 123/06, e será processa</w:t>
      </w:r>
      <w:r>
        <w:rPr>
          <w:rFonts w:ascii="Arial" w:eastAsia="Arial" w:hAnsi="Arial" w:cs="Arial"/>
        </w:rPr>
        <w:t>da na conformidade das normas e disposições constantes deste Convite e Anexos.</w:t>
      </w:r>
    </w:p>
    <w:p w:rsidR="007A45B7" w:rsidRDefault="007A45B7">
      <w:pPr>
        <w:spacing w:line="360" w:lineRule="auto"/>
        <w:jc w:val="both"/>
        <w:rPr>
          <w:rFonts w:ascii="Arial" w:eastAsia="Arial" w:hAnsi="Arial" w:cs="Arial"/>
        </w:rPr>
      </w:pPr>
    </w:p>
    <w:p w:rsidR="007A45B7" w:rsidRDefault="00BA7DA0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 OBJETO: </w:t>
      </w:r>
      <w:r>
        <w:rPr>
          <w:rFonts w:ascii="Arial" w:eastAsia="Arial" w:hAnsi="Arial" w:cs="Arial"/>
        </w:rPr>
        <w:t xml:space="preserve">AQUISIÇÃO DE 01(UMA) CÂMERA ROBOTIZADA, 01(UMA) MESA DE CORTE E 01(UMA) MESA CONTROLADORA DE POSICIONAMENTO DE CÂMERAS PARA A CÂMARA MUNICIPAL DA ESTÂNCIA TURÍSTICA </w:t>
      </w:r>
      <w:r>
        <w:rPr>
          <w:rFonts w:ascii="Arial" w:eastAsia="Arial" w:hAnsi="Arial" w:cs="Arial"/>
        </w:rPr>
        <w:t>DE OLÍMPIA.</w:t>
      </w:r>
    </w:p>
    <w:p w:rsidR="007A45B7" w:rsidRDefault="007A45B7">
      <w:pPr>
        <w:spacing w:line="360" w:lineRule="auto"/>
        <w:ind w:left="1065"/>
        <w:jc w:val="both"/>
        <w:rPr>
          <w:rFonts w:ascii="Arial" w:eastAsia="Arial" w:hAnsi="Arial" w:cs="Arial"/>
          <w:b/>
        </w:rPr>
      </w:pPr>
    </w:p>
    <w:p w:rsidR="007A45B7" w:rsidRDefault="00BA7DA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ESPECIFICAÇÕES TÉCNICAS CONSTANTES DO ANEXO I: </w:t>
      </w:r>
    </w:p>
    <w:p w:rsidR="007A45B7" w:rsidRDefault="007A45B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080"/>
        <w:jc w:val="both"/>
        <w:rPr>
          <w:rFonts w:ascii="Arial" w:eastAsia="Arial" w:hAnsi="Arial" w:cs="Arial"/>
          <w:b/>
          <w:color w:val="000000"/>
        </w:rPr>
      </w:pPr>
    </w:p>
    <w:p w:rsidR="007A45B7" w:rsidRDefault="00BA7DA0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08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ITEM 1 - </w:t>
      </w:r>
      <w:r>
        <w:rPr>
          <w:rFonts w:ascii="Arial" w:eastAsia="Arial" w:hAnsi="Arial" w:cs="Arial"/>
          <w:color w:val="000000"/>
        </w:rPr>
        <w:t xml:space="preserve">CÂMERA ROBOTIZADA HD COM PROTOCOLO VISCA SAÍDA HDMI, COM </w:t>
      </w:r>
      <w:r>
        <w:rPr>
          <w:rFonts w:ascii="Arial" w:eastAsia="Arial" w:hAnsi="Arial" w:cs="Arial"/>
          <w:b/>
          <w:color w:val="000000"/>
        </w:rPr>
        <w:t xml:space="preserve">RESOLUÇÃO </w:t>
      </w:r>
      <w:r>
        <w:rPr>
          <w:rFonts w:ascii="Arial" w:eastAsia="Arial" w:hAnsi="Arial" w:cs="Arial"/>
          <w:b/>
        </w:rPr>
        <w:t>4K (384</w:t>
      </w:r>
      <w:r w:rsidR="002C11E2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X2160) OU SUPERIOR</w:t>
      </w:r>
      <w:r>
        <w:rPr>
          <w:rFonts w:ascii="Arial" w:eastAsia="Arial" w:hAnsi="Arial" w:cs="Arial"/>
          <w:color w:val="000000"/>
        </w:rPr>
        <w:t>, CONECTOR FIO, COM ZOOM OPTICO 20X ANALÓGICO E 10X DIGITAL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7A45B7" w:rsidRDefault="007A45B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080"/>
        <w:jc w:val="both"/>
        <w:rPr>
          <w:rFonts w:ascii="Arial" w:eastAsia="Arial" w:hAnsi="Arial" w:cs="Arial"/>
          <w:b/>
          <w:color w:val="000000"/>
        </w:rPr>
      </w:pPr>
    </w:p>
    <w:p w:rsidR="007A45B7" w:rsidRDefault="00BA7DA0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0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ITEM 2 -   </w:t>
      </w:r>
      <w:r>
        <w:rPr>
          <w:rFonts w:ascii="Arial" w:eastAsia="Arial" w:hAnsi="Arial" w:cs="Arial"/>
          <w:color w:val="000000"/>
        </w:rPr>
        <w:t xml:space="preserve">MESA DE CORTE COM </w:t>
      </w:r>
      <w:r>
        <w:rPr>
          <w:rFonts w:ascii="Arial" w:eastAsia="Arial" w:hAnsi="Arial" w:cs="Arial"/>
        </w:rPr>
        <w:t xml:space="preserve">ENTRADA MÍNIMA DE </w:t>
      </w:r>
      <w:r>
        <w:rPr>
          <w:rFonts w:ascii="Arial" w:eastAsia="Arial" w:hAnsi="Arial" w:cs="Arial"/>
          <w:b/>
        </w:rPr>
        <w:t>08</w:t>
      </w:r>
      <w:r>
        <w:rPr>
          <w:rFonts w:ascii="Arial" w:eastAsia="Arial" w:hAnsi="Arial" w:cs="Arial"/>
          <w:color w:val="000000"/>
        </w:rPr>
        <w:t xml:space="preserve"> CONECTORES E </w:t>
      </w:r>
      <w:r>
        <w:rPr>
          <w:rFonts w:ascii="Arial" w:eastAsia="Arial" w:hAnsi="Arial" w:cs="Arial"/>
          <w:b/>
          <w:color w:val="000000"/>
        </w:rPr>
        <w:t>04</w:t>
      </w:r>
      <w:r>
        <w:rPr>
          <w:rFonts w:ascii="Arial" w:eastAsia="Arial" w:hAnsi="Arial" w:cs="Arial"/>
          <w:color w:val="000000"/>
        </w:rPr>
        <w:t xml:space="preserve"> SAÍDAS HDMI, SDI </w:t>
      </w:r>
    </w:p>
    <w:p w:rsidR="007A45B7" w:rsidRDefault="007A45B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080"/>
        <w:jc w:val="both"/>
        <w:rPr>
          <w:rFonts w:ascii="Arial" w:eastAsia="Arial" w:hAnsi="Arial" w:cs="Arial"/>
          <w:color w:val="000000"/>
        </w:rPr>
      </w:pPr>
    </w:p>
    <w:p w:rsidR="007A45B7" w:rsidRDefault="00BA7DA0">
      <w:pPr>
        <w:pBdr>
          <w:top w:val="nil"/>
          <w:left w:val="nil"/>
          <w:bottom w:val="nil"/>
          <w:right w:val="nil"/>
          <w:between w:val="nil"/>
        </w:pBdr>
        <w:spacing w:after="60" w:line="244" w:lineRule="auto"/>
        <w:ind w:left="108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ITEM 3 -  </w:t>
      </w:r>
      <w:r>
        <w:rPr>
          <w:rFonts w:ascii="Arial" w:eastAsia="Arial" w:hAnsi="Arial" w:cs="Arial"/>
          <w:color w:val="000000"/>
        </w:rPr>
        <w:t xml:space="preserve">MESA CONTROLADORA DE POSICIONAMENTO DE CÂMERAS, COMPATÍVEL COM O SISTEMA </w:t>
      </w:r>
      <w:r w:rsidR="002C11E2">
        <w:rPr>
          <w:rFonts w:ascii="Arial" w:eastAsia="Arial" w:hAnsi="Arial" w:cs="Arial"/>
          <w:color w:val="000000"/>
        </w:rPr>
        <w:t>DA CÂMERA ROBOTIZADA</w:t>
      </w:r>
      <w:r>
        <w:rPr>
          <w:rFonts w:ascii="Arial" w:eastAsia="Arial" w:hAnsi="Arial" w:cs="Arial"/>
          <w:color w:val="000000"/>
        </w:rPr>
        <w:t>, COM ENQUADRAMENTO DE IMAGENS E GRAVAÇÃO DE CENAS.</w:t>
      </w:r>
      <w:bookmarkStart w:id="1" w:name="_GoBack"/>
      <w:bookmarkEnd w:id="1"/>
    </w:p>
    <w:p w:rsidR="007A45B7" w:rsidRDefault="007A45B7">
      <w:pPr>
        <w:spacing w:line="360" w:lineRule="auto"/>
        <w:ind w:left="372"/>
        <w:jc w:val="both"/>
        <w:rPr>
          <w:rFonts w:ascii="Arial" w:eastAsia="Arial" w:hAnsi="Arial" w:cs="Arial"/>
        </w:rPr>
      </w:pPr>
    </w:p>
    <w:p w:rsidR="007A45B7" w:rsidRDefault="007A45B7">
      <w:pPr>
        <w:spacing w:line="360" w:lineRule="auto"/>
        <w:ind w:left="1080" w:hanging="708"/>
        <w:jc w:val="both"/>
        <w:rPr>
          <w:rFonts w:ascii="Arial" w:eastAsia="Arial" w:hAnsi="Arial" w:cs="Arial"/>
        </w:rPr>
      </w:pPr>
    </w:p>
    <w:p w:rsidR="007A45B7" w:rsidRDefault="00BA7DA0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 PRAZOS E CONDIÇÕES DA DISPONIBILIZAÇÃO DO OBJETO E GARANTIA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</w:rPr>
        <w:t>A entrega do objeto desta licitação deverá ser fe</w:t>
      </w:r>
      <w:r>
        <w:rPr>
          <w:rFonts w:ascii="Arial" w:eastAsia="Arial" w:hAnsi="Arial" w:cs="Arial"/>
        </w:rPr>
        <w:t>ita na sede da Câmara Municipal de Olímpia, localizada na Avenida Aurora Forti Neves (Praça João Fossalussa), nº 867 – Centro, Olímpia/SP, no prazo de até 30 (trinta) dias corridos, contados da expedição da Ordem de Compra e Nota de Empenho, correndo por c</w:t>
      </w:r>
      <w:r>
        <w:rPr>
          <w:rFonts w:ascii="Arial" w:eastAsia="Arial" w:hAnsi="Arial" w:cs="Arial"/>
        </w:rPr>
        <w:t>onta da Contratada as despesas de embalagem, seguros, transporte, montagem, tributos, encargos trabalhistas e previdenciários decorrentes do fornecimento.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prazo para a entrega dos produtos poderá ser prorrogado por igual período, desde que devidamente justificado e comprovado pela Empresa e aceito pela autoridade competente.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bookmarkStart w:id="3" w:name="_heading=h.4iurcwye4tns" w:colFirst="0" w:colLast="0"/>
      <w:bookmarkEnd w:id="3"/>
      <w:r>
        <w:rPr>
          <w:rFonts w:ascii="Arial" w:eastAsia="Arial" w:hAnsi="Arial" w:cs="Arial"/>
        </w:rPr>
        <w:t>O prazo para assinatura do Contrato ocorrerá em até 5 (cinco) dias úteis, contados</w:t>
      </w:r>
      <w:r>
        <w:rPr>
          <w:rFonts w:ascii="Arial" w:eastAsia="Arial" w:hAnsi="Arial" w:cs="Arial"/>
        </w:rPr>
        <w:t xml:space="preserve"> da homologação do certame pela autoridade competente.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demais condições de recebimento e/ou substituição do objeto constam do Termo de Referência (Anexo I).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Contrato terá vigência a partir da data de assinatura até a data do efetivo termo de recebimen</w:t>
      </w:r>
      <w:r>
        <w:rPr>
          <w:rFonts w:ascii="Arial" w:eastAsia="Arial" w:hAnsi="Arial" w:cs="Arial"/>
        </w:rPr>
        <w:t>to definitivo, comprometendo-se o contratado a obedecer o prazo de garantia dos produtos, que nunca será inferior a 12 meses.</w:t>
      </w:r>
    </w:p>
    <w:p w:rsidR="007A45B7" w:rsidRDefault="007A45B7">
      <w:pPr>
        <w:spacing w:line="360" w:lineRule="auto"/>
        <w:ind w:left="1080" w:hanging="708"/>
        <w:jc w:val="both"/>
        <w:rPr>
          <w:rFonts w:ascii="Arial" w:eastAsia="Arial" w:hAnsi="Arial" w:cs="Arial"/>
        </w:rPr>
      </w:pPr>
      <w:bookmarkStart w:id="4" w:name="_heading=h.vkowihjvsh33" w:colFirst="0" w:colLast="0"/>
      <w:bookmarkEnd w:id="4"/>
    </w:p>
    <w:p w:rsidR="007A45B7" w:rsidRDefault="00BA7DA0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 RECURSOS FINANCEIROS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recursos financeiros necessários para a realização deste certame, serão cobertos pela seguinte dotaçã</w:t>
      </w:r>
      <w:r>
        <w:rPr>
          <w:rFonts w:ascii="Arial" w:eastAsia="Arial" w:hAnsi="Arial" w:cs="Arial"/>
        </w:rPr>
        <w:t>o orçamentária:</w:t>
      </w:r>
    </w:p>
    <w:p w:rsidR="007A45B7" w:rsidRDefault="007A45B7">
      <w:pPr>
        <w:spacing w:line="360" w:lineRule="auto"/>
        <w:ind w:left="1080" w:hanging="708"/>
        <w:jc w:val="both"/>
        <w:rPr>
          <w:rFonts w:ascii="Arial" w:eastAsia="Arial" w:hAnsi="Arial" w:cs="Arial"/>
        </w:rPr>
      </w:pPr>
    </w:p>
    <w:p w:rsidR="007A45B7" w:rsidRDefault="00BA7DA0">
      <w:pPr>
        <w:spacing w:line="360" w:lineRule="auto"/>
        <w:ind w:left="106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01 – </w:t>
      </w:r>
      <w:r>
        <w:rPr>
          <w:rFonts w:ascii="Arial" w:eastAsia="Arial" w:hAnsi="Arial" w:cs="Arial"/>
          <w:b/>
        </w:rPr>
        <w:t>PODER LEGISLATIVO</w:t>
      </w:r>
    </w:p>
    <w:p w:rsidR="007A45B7" w:rsidRDefault="00BA7DA0">
      <w:pPr>
        <w:spacing w:line="360" w:lineRule="auto"/>
        <w:ind w:left="106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01.02 – CORPO LEGISLATIVO</w:t>
      </w:r>
    </w:p>
    <w:p w:rsidR="007A45B7" w:rsidRDefault="00BA7DA0">
      <w:pPr>
        <w:spacing w:line="360" w:lineRule="auto"/>
        <w:ind w:left="106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4.4.90.52.00 – EQUIPAMENTOS E MATERIAL PERMANENTE</w:t>
      </w:r>
    </w:p>
    <w:p w:rsidR="007A45B7" w:rsidRDefault="00BA7DA0">
      <w:pPr>
        <w:spacing w:line="360" w:lineRule="auto"/>
        <w:ind w:left="106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4.4.90.52.33 – EQUIPAMENTOS PARA ÁUDIO, VÍDEO E FOTO</w:t>
      </w:r>
    </w:p>
    <w:p w:rsidR="007A45B7" w:rsidRDefault="007A45B7">
      <w:pPr>
        <w:spacing w:line="360" w:lineRule="auto"/>
        <w:ind w:left="1080" w:hanging="708"/>
        <w:jc w:val="both"/>
        <w:rPr>
          <w:rFonts w:ascii="Arial" w:eastAsia="Arial" w:hAnsi="Arial" w:cs="Arial"/>
        </w:rPr>
      </w:pPr>
    </w:p>
    <w:p w:rsidR="007A45B7" w:rsidRDefault="00BA7DA0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DOS DOCUMENTOS 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Contrato Social da Empresa ou documento equivalente.</w:t>
      </w:r>
    </w:p>
    <w:p w:rsidR="007A45B7" w:rsidRDefault="00BA7DA0">
      <w:pPr>
        <w:numPr>
          <w:ilvl w:val="2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caso de MEI (Microempreendedor Individual), deverá ser apresentado o CCMEI (Certificado da Condição de Microempreendedor Individual), de acordo com o que dispõe a Resolução CGSIM nº 48, de 11 de outubro de 2018, que substitui o Requerimento de Empresári</w:t>
      </w:r>
      <w:r>
        <w:rPr>
          <w:rFonts w:ascii="Arial" w:eastAsia="Arial" w:hAnsi="Arial" w:cs="Arial"/>
        </w:rPr>
        <w:t>o para todos os fins.</w:t>
      </w:r>
    </w:p>
    <w:p w:rsidR="007A45B7" w:rsidRDefault="00BA7DA0">
      <w:pPr>
        <w:numPr>
          <w:ilvl w:val="2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se tratando de Empresário Individual, deverá ser apresentado o Requerimento do Empresário Individual, que substituirá o disposto no item 4.1, para fins de habilitação jurídica.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Certidão de regularidade de situação – CRS relativa ao</w:t>
      </w:r>
      <w:r>
        <w:rPr>
          <w:rFonts w:ascii="Arial" w:eastAsia="Arial" w:hAnsi="Arial" w:cs="Arial"/>
        </w:rPr>
        <w:t xml:space="preserve"> Fundo de Garantia por Tempo de Serviço (FGTS) emitido pela Caixa Econômica Federal.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Certidão Conjunta de Débitos relativos a tributos federais e a Dívida Ativa da União.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Certidões: Estadual (ICM/ICMS); e Municipal (Certidão Negativa de Débitos Mobiliários</w:t>
      </w:r>
      <w:r>
        <w:rPr>
          <w:rFonts w:ascii="Arial" w:eastAsia="Arial" w:hAnsi="Arial" w:cs="Arial"/>
        </w:rPr>
        <w:t xml:space="preserve"> e Imobiliários) do domicílio ou sede do licitante, na forma da Lei.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Certidão Negativa de Débitos Tributários da Dívida Ativa do Estado de São Paulo.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Prova de inscrição no cadastro de contribuintes do Ministério da Fazenda (cartão CNPJ ou documento equival</w:t>
      </w:r>
      <w:r>
        <w:rPr>
          <w:rFonts w:ascii="Arial" w:eastAsia="Arial" w:hAnsi="Arial" w:cs="Arial"/>
        </w:rPr>
        <w:t>ente).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Certidão Negativa de Débitos Trabalhista (CNDT) perante a Justiça do Trabalho.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Declaração formal de que se encontra em situação regular perante o Ministério do Trabalho na observância das vedações estabelecidas no artigo 7º, inciso XXXIII da Constituição Federal, ou seja, proibição de trabalho noturno, perigoso ou insalubre aos menor</w:t>
      </w:r>
      <w:r>
        <w:rPr>
          <w:rFonts w:ascii="Arial" w:eastAsia="Arial" w:hAnsi="Arial" w:cs="Arial"/>
        </w:rPr>
        <w:t xml:space="preserve">es de 18 (dezoito) anos e de qualquer trabalho a menores de 16 (dezesseis) anos em </w:t>
      </w:r>
      <w:r>
        <w:rPr>
          <w:rFonts w:ascii="Arial" w:eastAsia="Arial" w:hAnsi="Arial" w:cs="Arial"/>
        </w:rPr>
        <w:lastRenderedPageBreak/>
        <w:t>qualquer trabalho, salvo na condição de aprendiz, a partir de 14 (quatorze) anos (</w:t>
      </w:r>
      <w:r>
        <w:rPr>
          <w:rFonts w:ascii="Arial" w:eastAsia="Arial" w:hAnsi="Arial" w:cs="Arial"/>
          <w:b/>
        </w:rPr>
        <w:t>Anexo III</w:t>
      </w:r>
      <w:r>
        <w:rPr>
          <w:rFonts w:ascii="Arial" w:eastAsia="Arial" w:hAnsi="Arial" w:cs="Arial"/>
        </w:rPr>
        <w:t>).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Declaração formal de inexistência de fato impeditivo de contratar com órgão púb</w:t>
      </w:r>
      <w:r>
        <w:rPr>
          <w:rFonts w:ascii="Arial" w:eastAsia="Arial" w:hAnsi="Arial" w:cs="Arial"/>
        </w:rPr>
        <w:t>lico (</w:t>
      </w:r>
      <w:r>
        <w:rPr>
          <w:rFonts w:ascii="Arial" w:eastAsia="Arial" w:hAnsi="Arial" w:cs="Arial"/>
          <w:b/>
        </w:rPr>
        <w:t>Anexo IV</w:t>
      </w:r>
      <w:r>
        <w:rPr>
          <w:rFonts w:ascii="Arial" w:eastAsia="Arial" w:hAnsi="Arial" w:cs="Arial"/>
        </w:rPr>
        <w:t>).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bookmarkStart w:id="5" w:name="_heading=h.30j0zll" w:colFirst="0" w:colLast="0"/>
      <w:bookmarkEnd w:id="5"/>
      <w:r>
        <w:rPr>
          <w:rFonts w:ascii="Arial" w:eastAsia="Arial" w:hAnsi="Arial" w:cs="Arial"/>
        </w:rPr>
        <w:t>As Microempresas (ME) e as Empresas de Pequeno Porte (EPP) que quiserem usufruir do tratamento favorecido nas licitações deverão apresentar declaração (</w:t>
      </w:r>
      <w:r>
        <w:rPr>
          <w:rFonts w:ascii="Arial" w:eastAsia="Arial" w:hAnsi="Arial" w:cs="Arial"/>
          <w:b/>
        </w:rPr>
        <w:t>Anexo V</w:t>
      </w:r>
      <w:r>
        <w:rPr>
          <w:rFonts w:ascii="Arial" w:eastAsia="Arial" w:hAnsi="Arial" w:cs="Arial"/>
        </w:rPr>
        <w:t xml:space="preserve">), afirmando que cumprem os requisitos legais para serem qualificadas como ME e </w:t>
      </w:r>
      <w:r>
        <w:rPr>
          <w:rFonts w:ascii="Arial" w:eastAsia="Arial" w:hAnsi="Arial" w:cs="Arial"/>
        </w:rPr>
        <w:t>EPP.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documentos acima solicitados da empresa deverão ser entregues até </w:t>
      </w:r>
      <w:r>
        <w:rPr>
          <w:rFonts w:ascii="Arial" w:eastAsia="Arial" w:hAnsi="Arial" w:cs="Arial"/>
          <w:b/>
        </w:rPr>
        <w:t>às 13 (treze) horas do dia 29 (vinte e nove) de março de 2021</w:t>
      </w:r>
      <w:r>
        <w:rPr>
          <w:rFonts w:ascii="Arial" w:eastAsia="Arial" w:hAnsi="Arial" w:cs="Arial"/>
        </w:rPr>
        <w:t xml:space="preserve">,  em envelope indevassável e lacrado, </w:t>
      </w:r>
      <w:r>
        <w:rPr>
          <w:rFonts w:ascii="Arial" w:eastAsia="Arial" w:hAnsi="Arial" w:cs="Arial"/>
          <w:b/>
        </w:rPr>
        <w:t>subscrito com o nome da empresa</w:t>
      </w:r>
      <w:r>
        <w:rPr>
          <w:rFonts w:ascii="Arial" w:eastAsia="Arial" w:hAnsi="Arial" w:cs="Arial"/>
        </w:rPr>
        <w:t xml:space="preserve"> e mais os seguintes dizeres: </w:t>
      </w:r>
    </w:p>
    <w:tbl>
      <w:tblPr>
        <w:tblStyle w:val="a"/>
        <w:tblW w:w="4727" w:type="dxa"/>
        <w:tblInd w:w="2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27"/>
      </w:tblGrid>
      <w:tr w:rsidR="007A45B7">
        <w:tc>
          <w:tcPr>
            <w:tcW w:w="4727" w:type="dxa"/>
          </w:tcPr>
          <w:p w:rsidR="007A45B7" w:rsidRDefault="00BA7DA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ENVELOPE N° 01 – DOC</w:t>
            </w:r>
            <w:r>
              <w:rPr>
                <w:rFonts w:ascii="Arial" w:eastAsia="Arial" w:hAnsi="Arial" w:cs="Arial"/>
                <w:b/>
              </w:rPr>
              <w:t xml:space="preserve">UMENTAÇÃO </w:t>
            </w:r>
          </w:p>
        </w:tc>
      </w:tr>
      <w:tr w:rsidR="007A45B7">
        <w:tc>
          <w:tcPr>
            <w:tcW w:w="4727" w:type="dxa"/>
          </w:tcPr>
          <w:p w:rsidR="007A45B7" w:rsidRDefault="00BA7DA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CÂMARA MUNICIPAL DE OLÍMPIA</w:t>
            </w:r>
          </w:p>
        </w:tc>
      </w:tr>
      <w:tr w:rsidR="007A45B7">
        <w:tc>
          <w:tcPr>
            <w:tcW w:w="4727" w:type="dxa"/>
          </w:tcPr>
          <w:p w:rsidR="007A45B7" w:rsidRDefault="00BA7DA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CARTA CONVITE N° 03 de 2021</w:t>
            </w:r>
          </w:p>
        </w:tc>
      </w:tr>
    </w:tbl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documentos solicitados deverão ser apresentados através de cópias autenticadas em Cartório, excetuando-se desta obrigatoriedade aqueles emitidos pela internet, que possuam código de v</w:t>
      </w:r>
      <w:r>
        <w:rPr>
          <w:rFonts w:ascii="Arial" w:eastAsia="Arial" w:hAnsi="Arial" w:cs="Arial"/>
        </w:rPr>
        <w:t>erificação de autenticidade.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Poderão também, no momento da abertura dos envelopes, as cópias não autenticadas em Cartório, serem reconhecidas pela Comissão Permanente de Licitação como idênticas, mediante apresentação dos documentos originais, sendo aposto</w:t>
      </w:r>
      <w:r>
        <w:rPr>
          <w:rFonts w:ascii="Arial" w:eastAsia="Arial" w:hAnsi="Arial" w:cs="Arial"/>
        </w:rPr>
        <w:t>, no verso dos documentos, a rubrica “confere com o original”.</w:t>
      </w:r>
    </w:p>
    <w:p w:rsidR="007A45B7" w:rsidRDefault="007A45B7">
      <w:pPr>
        <w:spacing w:line="360" w:lineRule="auto"/>
        <w:jc w:val="both"/>
        <w:rPr>
          <w:rFonts w:ascii="Arial" w:eastAsia="Arial" w:hAnsi="Arial" w:cs="Arial"/>
        </w:rPr>
      </w:pPr>
    </w:p>
    <w:p w:rsidR="007A45B7" w:rsidRDefault="00BA7DA0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 APRESENTAÇÃO DA PROPOSTA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licitantes deverão apresentar suas propostas em envelopes fechados e indevassáveis.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</w:rPr>
        <w:t xml:space="preserve">proposta </w:t>
      </w:r>
      <w:r>
        <w:rPr>
          <w:rFonts w:ascii="Arial" w:eastAsia="Arial" w:hAnsi="Arial" w:cs="Arial"/>
        </w:rPr>
        <w:t>deverá ser apresentada à Comissão Permanente de Licitação desta Câ</w:t>
      </w:r>
      <w:r>
        <w:rPr>
          <w:rFonts w:ascii="Arial" w:eastAsia="Arial" w:hAnsi="Arial" w:cs="Arial"/>
        </w:rPr>
        <w:t xml:space="preserve">mara através do </w:t>
      </w:r>
      <w:r>
        <w:rPr>
          <w:rFonts w:ascii="Arial" w:eastAsia="Arial" w:hAnsi="Arial" w:cs="Arial"/>
          <w:b/>
        </w:rPr>
        <w:t xml:space="preserve">formulário </w:t>
      </w:r>
      <w:r>
        <w:rPr>
          <w:rFonts w:ascii="Arial" w:eastAsia="Arial" w:hAnsi="Arial" w:cs="Arial"/>
        </w:rPr>
        <w:t>anexo devidamente preenchido (</w:t>
      </w:r>
      <w:r>
        <w:rPr>
          <w:rFonts w:ascii="Arial" w:eastAsia="Arial" w:hAnsi="Arial" w:cs="Arial"/>
          <w:b/>
        </w:rPr>
        <w:t>Anexo VI</w:t>
      </w:r>
      <w:r>
        <w:rPr>
          <w:rFonts w:ascii="Arial" w:eastAsia="Arial" w:hAnsi="Arial" w:cs="Arial"/>
        </w:rPr>
        <w:t xml:space="preserve">), até </w:t>
      </w:r>
      <w:r>
        <w:rPr>
          <w:rFonts w:ascii="Arial" w:eastAsia="Arial" w:hAnsi="Arial" w:cs="Arial"/>
          <w:b/>
        </w:rPr>
        <w:t xml:space="preserve">às 13 (treze) horas do dia 29 (vinte e </w:t>
      </w:r>
      <w:r>
        <w:rPr>
          <w:rFonts w:ascii="Arial" w:eastAsia="Arial" w:hAnsi="Arial" w:cs="Arial"/>
          <w:b/>
        </w:rPr>
        <w:lastRenderedPageBreak/>
        <w:t>nove) de março de 2021,</w:t>
      </w:r>
      <w:r>
        <w:rPr>
          <w:rFonts w:ascii="Arial" w:eastAsia="Arial" w:hAnsi="Arial" w:cs="Arial"/>
        </w:rPr>
        <w:t xml:space="preserve"> em envelope indevassável e lacrado, </w:t>
      </w:r>
      <w:r>
        <w:rPr>
          <w:rFonts w:ascii="Arial" w:eastAsia="Arial" w:hAnsi="Arial" w:cs="Arial"/>
          <w:b/>
        </w:rPr>
        <w:t>subscrito com o nome da empresa</w:t>
      </w:r>
      <w:r>
        <w:rPr>
          <w:rFonts w:ascii="Arial" w:eastAsia="Arial" w:hAnsi="Arial" w:cs="Arial"/>
        </w:rPr>
        <w:t xml:space="preserve"> e mais os seguintes dizeres: </w:t>
      </w:r>
    </w:p>
    <w:tbl>
      <w:tblPr>
        <w:tblStyle w:val="a0"/>
        <w:tblW w:w="4727" w:type="dxa"/>
        <w:tblInd w:w="2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27"/>
      </w:tblGrid>
      <w:tr w:rsidR="007A45B7">
        <w:tc>
          <w:tcPr>
            <w:tcW w:w="4727" w:type="dxa"/>
          </w:tcPr>
          <w:p w:rsidR="007A45B7" w:rsidRDefault="00BA7DA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ENVELOPE N° 02 – PROPOSTA </w:t>
            </w:r>
          </w:p>
        </w:tc>
      </w:tr>
      <w:tr w:rsidR="007A45B7">
        <w:tc>
          <w:tcPr>
            <w:tcW w:w="4727" w:type="dxa"/>
          </w:tcPr>
          <w:p w:rsidR="007A45B7" w:rsidRDefault="00BA7DA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CÂMARA MUNICIPAL DE OLÍMPIA</w:t>
            </w:r>
          </w:p>
        </w:tc>
      </w:tr>
      <w:tr w:rsidR="007A45B7">
        <w:tc>
          <w:tcPr>
            <w:tcW w:w="4727" w:type="dxa"/>
          </w:tcPr>
          <w:p w:rsidR="007A45B7" w:rsidRDefault="00BA7DA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CARTA CONVITE N° 03 de 2021</w:t>
            </w:r>
          </w:p>
        </w:tc>
      </w:tr>
    </w:tbl>
    <w:p w:rsidR="007A45B7" w:rsidRDefault="00BA7DA0">
      <w:pPr>
        <w:spacing w:line="360" w:lineRule="auto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sem emendas, rasuras ou entrelinhas, com o </w:t>
      </w:r>
      <w:r>
        <w:rPr>
          <w:rFonts w:ascii="Arial" w:eastAsia="Arial" w:hAnsi="Arial" w:cs="Arial"/>
          <w:b/>
        </w:rPr>
        <w:t>carimbo da proponente</w:t>
      </w:r>
      <w:r>
        <w:rPr>
          <w:rFonts w:ascii="Arial" w:eastAsia="Arial" w:hAnsi="Arial" w:cs="Arial"/>
        </w:rPr>
        <w:t>, constando da mesma aqueles elementos solicitados por esta Carta Convite e dos quais haja interesse, cont</w:t>
      </w:r>
      <w:r>
        <w:rPr>
          <w:rFonts w:ascii="Arial" w:eastAsia="Arial" w:hAnsi="Arial" w:cs="Arial"/>
        </w:rPr>
        <w:t xml:space="preserve">endo, ainda, a </w:t>
      </w:r>
      <w:r>
        <w:rPr>
          <w:rFonts w:ascii="Arial" w:eastAsia="Arial" w:hAnsi="Arial" w:cs="Arial"/>
          <w:b/>
        </w:rPr>
        <w:t>data e assinatura dos responsáveis pela empresa</w:t>
      </w:r>
      <w:r>
        <w:rPr>
          <w:rFonts w:ascii="Arial" w:eastAsia="Arial" w:hAnsi="Arial" w:cs="Arial"/>
        </w:rPr>
        <w:t>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formulário (</w:t>
      </w:r>
      <w:r>
        <w:rPr>
          <w:rFonts w:ascii="Arial" w:eastAsia="Arial" w:hAnsi="Arial" w:cs="Arial"/>
          <w:b/>
        </w:rPr>
        <w:t>Anexo VI</w:t>
      </w:r>
      <w:r>
        <w:rPr>
          <w:rFonts w:ascii="Arial" w:eastAsia="Arial" w:hAnsi="Arial" w:cs="Arial"/>
        </w:rPr>
        <w:t xml:space="preserve">) poderá ser </w:t>
      </w:r>
      <w:r>
        <w:rPr>
          <w:rFonts w:ascii="Arial" w:eastAsia="Arial" w:hAnsi="Arial" w:cs="Arial"/>
          <w:b/>
        </w:rPr>
        <w:t>substituído</w:t>
      </w:r>
      <w:r>
        <w:rPr>
          <w:rFonts w:ascii="Arial" w:eastAsia="Arial" w:hAnsi="Arial" w:cs="Arial"/>
        </w:rPr>
        <w:t xml:space="preserve"> por proposta digitada, sem emendas, rasuras ou entrelinhas, em papel timbrado ou com o carimbo da proponente, desde que constem da mesma todos os elementos solicitados por esta Carta Convite, contendo, ainda, a data e a assinatura dos responsáveis pela Em</w:t>
      </w:r>
      <w:r>
        <w:rPr>
          <w:rFonts w:ascii="Arial" w:eastAsia="Arial" w:hAnsi="Arial" w:cs="Arial"/>
        </w:rPr>
        <w:t>presa.</w:t>
      </w:r>
    </w:p>
    <w:p w:rsidR="007A45B7" w:rsidRDefault="007A45B7">
      <w:pPr>
        <w:spacing w:line="360" w:lineRule="auto"/>
        <w:ind w:left="1080" w:hanging="708"/>
        <w:jc w:val="both"/>
        <w:rPr>
          <w:rFonts w:ascii="Arial" w:eastAsia="Arial" w:hAnsi="Arial" w:cs="Arial"/>
        </w:rPr>
      </w:pPr>
    </w:p>
    <w:p w:rsidR="007A45B7" w:rsidRDefault="00BA7DA0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 CRITÉRIOS DE JULGAMENTO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julgamento das propostas será adotado o critério de </w:t>
      </w:r>
      <w:r>
        <w:rPr>
          <w:rFonts w:ascii="Arial" w:eastAsia="Arial" w:hAnsi="Arial" w:cs="Arial"/>
          <w:b/>
        </w:rPr>
        <w:t>MENOR PREÇO POR ITEM</w:t>
      </w:r>
      <w:r>
        <w:rPr>
          <w:rFonts w:ascii="Arial" w:eastAsia="Arial" w:hAnsi="Arial" w:cs="Arial"/>
        </w:rPr>
        <w:t xml:space="preserve">, observando-se as especificações técnicas exigidas no </w:t>
      </w:r>
      <w:r>
        <w:rPr>
          <w:rFonts w:ascii="Arial" w:eastAsia="Arial" w:hAnsi="Arial" w:cs="Arial"/>
          <w:b/>
        </w:rPr>
        <w:t>Termo de Referência (Anexo I).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caso de </w:t>
      </w:r>
      <w:r>
        <w:rPr>
          <w:rFonts w:ascii="Arial" w:eastAsia="Arial" w:hAnsi="Arial" w:cs="Arial"/>
          <w:b/>
          <w:u w:val="single"/>
        </w:rPr>
        <w:t>empate</w:t>
      </w:r>
      <w:r>
        <w:rPr>
          <w:rFonts w:ascii="Arial" w:eastAsia="Arial" w:hAnsi="Arial" w:cs="Arial"/>
        </w:rPr>
        <w:t xml:space="preserve"> entre duas ou mais propostas será obedeci</w:t>
      </w:r>
      <w:r>
        <w:rPr>
          <w:rFonts w:ascii="Arial" w:eastAsia="Arial" w:hAnsi="Arial" w:cs="Arial"/>
        </w:rPr>
        <w:t xml:space="preserve">do o disposto nos </w:t>
      </w:r>
      <w:proofErr w:type="spellStart"/>
      <w:r>
        <w:rPr>
          <w:rFonts w:ascii="Arial" w:eastAsia="Arial" w:hAnsi="Arial" w:cs="Arial"/>
        </w:rPr>
        <w:t>arts</w:t>
      </w:r>
      <w:proofErr w:type="spellEnd"/>
      <w:r>
        <w:rPr>
          <w:rFonts w:ascii="Arial" w:eastAsia="Arial" w:hAnsi="Arial" w:cs="Arial"/>
        </w:rPr>
        <w:t>. 44 e 45 da Lei Complementar 123/2006 e, subsidiariamente, o art. 3, §2º, da Lei 8.666/93. Contudo, caso esgotadas as possibilidades de desempate previstas nos artigos supracitados, será realizado sorteio em ato público, de acordo co</w:t>
      </w:r>
      <w:r>
        <w:rPr>
          <w:rFonts w:ascii="Arial" w:eastAsia="Arial" w:hAnsi="Arial" w:cs="Arial"/>
        </w:rPr>
        <w:t>m art. 45, §2º da Lei Federal 8.666/1993, podendo o sorteio acontecer na mesma data da abertura dos envelopes, caso estejam presentes todos os licitantes, ou, sequencialmente à sessão de habilitação e classificação, para o qual todos os licitantes serão co</w:t>
      </w:r>
      <w:r>
        <w:rPr>
          <w:rFonts w:ascii="Arial" w:eastAsia="Arial" w:hAnsi="Arial" w:cs="Arial"/>
        </w:rPr>
        <w:t>nvocados.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Serão </w:t>
      </w:r>
      <w:r>
        <w:rPr>
          <w:rFonts w:ascii="Arial" w:eastAsia="Arial" w:hAnsi="Arial" w:cs="Arial"/>
          <w:b/>
        </w:rPr>
        <w:t>desclassificadas</w:t>
      </w:r>
      <w:r>
        <w:rPr>
          <w:rFonts w:ascii="Arial" w:eastAsia="Arial" w:hAnsi="Arial" w:cs="Arial"/>
        </w:rPr>
        <w:t>:</w:t>
      </w:r>
    </w:p>
    <w:p w:rsidR="007A45B7" w:rsidRDefault="00BA7DA0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propostas que apresentarem irregularidades, vícios ou defeitos que impossibilitem seu entendimento ou julgamento;</w:t>
      </w:r>
    </w:p>
    <w:p w:rsidR="007A45B7" w:rsidRDefault="00BA7DA0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As propostas que não atenderem às especificações do </w:t>
      </w:r>
      <w:r>
        <w:rPr>
          <w:rFonts w:ascii="Arial" w:eastAsia="Arial" w:hAnsi="Arial" w:cs="Arial"/>
          <w:b/>
        </w:rPr>
        <w:t>Termo de Referência (Anexo I).</w:t>
      </w:r>
    </w:p>
    <w:p w:rsidR="007A45B7" w:rsidRDefault="00BA7DA0">
      <w:pPr>
        <w:numPr>
          <w:ilvl w:val="1"/>
          <w:numId w:val="3"/>
        </w:numPr>
        <w:spacing w:line="360" w:lineRule="auto"/>
        <w:ind w:left="10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se tratando de Microempresas (ME) e Empresas de Peque</w:t>
      </w:r>
      <w:r>
        <w:rPr>
          <w:rFonts w:ascii="Arial" w:eastAsia="Arial" w:hAnsi="Arial" w:cs="Arial"/>
        </w:rPr>
        <w:t xml:space="preserve">no Porte, nos termos do art. 43 da Lei Complementar nº 123/2009, deverão apresentar toda a documentação exigida para efeito de comprovação de regularidade fiscal e trabalhista, mesmo que esta apresente alguma restrição. </w:t>
      </w:r>
    </w:p>
    <w:p w:rsidR="007A45B7" w:rsidRDefault="00BA7DA0">
      <w:pPr>
        <w:numPr>
          <w:ilvl w:val="2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Havendo alguma restrição na comprov</w:t>
      </w:r>
      <w:r>
        <w:rPr>
          <w:rFonts w:ascii="Arial" w:eastAsia="Arial" w:hAnsi="Arial" w:cs="Arial"/>
        </w:rPr>
        <w:t xml:space="preserve">ação da regularidade fiscal e trabalhista, será assegurado o </w:t>
      </w:r>
      <w:r>
        <w:rPr>
          <w:rFonts w:ascii="Arial" w:eastAsia="Arial" w:hAnsi="Arial" w:cs="Arial"/>
          <w:b/>
        </w:rPr>
        <w:t>prazo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b/>
        </w:rPr>
        <w:t>5 (cinco) dias úteis</w:t>
      </w:r>
      <w:r>
        <w:rPr>
          <w:rFonts w:ascii="Arial" w:eastAsia="Arial" w:hAnsi="Arial" w:cs="Arial"/>
        </w:rPr>
        <w:t>, cujo termo inicial corresponderá ao momento em que o proponente for declarado vencedor do certame, prorrogável por igual período, a critério da administração públic</w:t>
      </w:r>
      <w:r>
        <w:rPr>
          <w:rFonts w:ascii="Arial" w:eastAsia="Arial" w:hAnsi="Arial" w:cs="Arial"/>
        </w:rPr>
        <w:t>a, para regularização da documentação, para pagamento ou parcelamento do débito e para emissão de eventuais certidões negativas ou positivas com efeito de certidão negativa.</w:t>
      </w:r>
    </w:p>
    <w:p w:rsidR="007A45B7" w:rsidRDefault="00BA7DA0">
      <w:pPr>
        <w:numPr>
          <w:ilvl w:val="2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Caso não ocorra a regularização da documentação no prazo previsto no item 6.4.1, o</w:t>
      </w:r>
      <w:r>
        <w:rPr>
          <w:rFonts w:ascii="Arial" w:eastAsia="Arial" w:hAnsi="Arial" w:cs="Arial"/>
        </w:rPr>
        <w:t xml:space="preserve">correrá decadência do direito à contratação. 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constituirá causa de inabilitação a irregularidade formal que não afete o conteúdo ou a idoneidade do documento.</w:t>
      </w:r>
    </w:p>
    <w:p w:rsidR="007A45B7" w:rsidRDefault="00BA7DA0">
      <w:pPr>
        <w:numPr>
          <w:ilvl w:val="1"/>
          <w:numId w:val="3"/>
        </w:numPr>
        <w:spacing w:line="360" w:lineRule="auto"/>
        <w:ind w:left="10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Satisfeitas todas as condições de habilitação, a classificação será efetuada na ordem crescen</w:t>
      </w:r>
      <w:r>
        <w:rPr>
          <w:rFonts w:ascii="Arial" w:eastAsia="Arial" w:hAnsi="Arial" w:cs="Arial"/>
        </w:rPr>
        <w:t>te dos preços propostos e aceitáveis, cabendo ao Presidente da Câmara a Homologação e Adjudicação do certame.</w:t>
      </w:r>
    </w:p>
    <w:p w:rsidR="007A45B7" w:rsidRDefault="007A45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7A45B7" w:rsidRDefault="00BA7DA0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 SESSÃO DE ABERTURA DOS ENVELOPES 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sessão pública de abertura, que ocorrerá </w:t>
      </w:r>
      <w:r>
        <w:rPr>
          <w:rFonts w:ascii="Arial" w:eastAsia="Arial" w:hAnsi="Arial" w:cs="Arial"/>
          <w:b/>
        </w:rPr>
        <w:t>às 10 (dez) horas do dia 30 (trinta) de Março de 2021</w:t>
      </w:r>
      <w:r>
        <w:rPr>
          <w:rFonts w:ascii="Arial" w:eastAsia="Arial" w:hAnsi="Arial" w:cs="Arial"/>
        </w:rPr>
        <w:t>, a Comissã</w:t>
      </w:r>
      <w:r>
        <w:rPr>
          <w:rFonts w:ascii="Arial" w:eastAsia="Arial" w:hAnsi="Arial" w:cs="Arial"/>
        </w:rPr>
        <w:t>o Permanente de Licitações, na presença de proponentes ou não, procederá à abertura dos envelopes (que contenham as documentações e as propostas).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virtude da pandemia do COVID-19 e visando atender as normas sanitárias em vigor, bem como preservar a saúd</w:t>
      </w:r>
      <w:r>
        <w:rPr>
          <w:rFonts w:ascii="Arial" w:eastAsia="Arial" w:hAnsi="Arial" w:cs="Arial"/>
        </w:rPr>
        <w:t xml:space="preserve">e dos membros da </w:t>
      </w:r>
      <w:r>
        <w:rPr>
          <w:rFonts w:ascii="Arial" w:eastAsia="Arial" w:hAnsi="Arial" w:cs="Arial"/>
        </w:rPr>
        <w:lastRenderedPageBreak/>
        <w:t>Comissão Permanente de Licitação e dos licitantes, dispõe o que segue:</w:t>
      </w:r>
    </w:p>
    <w:p w:rsidR="007A45B7" w:rsidRDefault="00BA7DA0">
      <w:pPr>
        <w:spacing w:line="360" w:lineRule="auto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7.2.1 Apenas será permitida a presença de 1 (um) representante por licitante;</w:t>
      </w:r>
    </w:p>
    <w:p w:rsidR="007A45B7" w:rsidRDefault="00BA7DA0">
      <w:pPr>
        <w:spacing w:line="360" w:lineRule="auto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7.2.2 O uso de máscara é obrigatório;</w:t>
      </w:r>
    </w:p>
    <w:p w:rsidR="007A45B7" w:rsidRDefault="00BA7DA0">
      <w:pPr>
        <w:spacing w:line="360" w:lineRule="auto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7.2.3 Serão disponibilizadas luvas aos representante</w:t>
      </w:r>
      <w:r>
        <w:rPr>
          <w:rFonts w:ascii="Arial" w:eastAsia="Arial" w:hAnsi="Arial" w:cs="Arial"/>
        </w:rPr>
        <w:t>s dos licitantes na entrada das dependências desta Edilidade, bem como álcool em gel;</w:t>
      </w:r>
    </w:p>
    <w:p w:rsidR="007A45B7" w:rsidRDefault="00BA7DA0">
      <w:pPr>
        <w:spacing w:line="360" w:lineRule="auto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7.2.4 Os licitantes deverão se acomodar em lugares pré-determinados na Sala de Reuniões, com o objetivo de manter o distanciamento social.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abertura dos envelopes se dará em ordem cronológica, qual seja: envelopes contendo as </w:t>
      </w:r>
      <w:r>
        <w:rPr>
          <w:rFonts w:ascii="Arial" w:eastAsia="Arial" w:hAnsi="Arial" w:cs="Arial"/>
          <w:u w:val="single"/>
        </w:rPr>
        <w:t>documentações</w:t>
      </w:r>
      <w:r>
        <w:rPr>
          <w:rFonts w:ascii="Arial" w:eastAsia="Arial" w:hAnsi="Arial" w:cs="Arial"/>
        </w:rPr>
        <w:t xml:space="preserve"> e envelopes con</w:t>
      </w:r>
      <w:r>
        <w:rPr>
          <w:rFonts w:ascii="Arial" w:eastAsia="Arial" w:hAnsi="Arial" w:cs="Arial"/>
        </w:rPr>
        <w:t xml:space="preserve">tendo as </w:t>
      </w:r>
      <w:r>
        <w:rPr>
          <w:rFonts w:ascii="Arial" w:eastAsia="Arial" w:hAnsi="Arial" w:cs="Arial"/>
          <w:u w:val="single"/>
        </w:rPr>
        <w:t>propostas</w:t>
      </w:r>
      <w:r>
        <w:rPr>
          <w:rFonts w:ascii="Arial" w:eastAsia="Arial" w:hAnsi="Arial" w:cs="Arial"/>
        </w:rPr>
        <w:t xml:space="preserve">. 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abertura dos envelopes contendo as propostas somente poderá ocorrer na mesma sessão de abertura dos envelopes contendo as documentações, no caso de </w:t>
      </w:r>
      <w:r>
        <w:rPr>
          <w:rFonts w:ascii="Arial" w:eastAsia="Arial" w:hAnsi="Arial" w:cs="Arial"/>
          <w:b/>
          <w:u w:val="single"/>
        </w:rPr>
        <w:t>renúncia expressa unânime</w:t>
      </w:r>
      <w:r>
        <w:rPr>
          <w:rFonts w:ascii="Arial" w:eastAsia="Arial" w:hAnsi="Arial" w:cs="Arial"/>
        </w:rPr>
        <w:t xml:space="preserve"> dos licitantes, através de </w:t>
      </w:r>
      <w:r>
        <w:rPr>
          <w:rFonts w:ascii="Arial" w:eastAsia="Arial" w:hAnsi="Arial" w:cs="Arial"/>
          <w:b/>
        </w:rPr>
        <w:t>Termo de Renúncia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b/>
        </w:rPr>
        <w:t>Anexo VIII</w:t>
      </w:r>
      <w:r>
        <w:rPr>
          <w:rFonts w:ascii="Arial" w:eastAsia="Arial" w:hAnsi="Arial" w:cs="Arial"/>
        </w:rPr>
        <w:t>), do direito de interpor recursos da análise dos documentos.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Não configurada a hipótese do 7.4, os licitantes serão </w:t>
      </w:r>
      <w:r>
        <w:rPr>
          <w:rFonts w:ascii="Arial" w:eastAsia="Arial" w:hAnsi="Arial" w:cs="Arial"/>
          <w:b/>
        </w:rPr>
        <w:t xml:space="preserve">informados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b/>
        </w:rPr>
        <w:t>sessão de abertura dos envelopes</w:t>
      </w:r>
      <w:r>
        <w:rPr>
          <w:rFonts w:ascii="Arial" w:eastAsia="Arial" w:hAnsi="Arial" w:cs="Arial"/>
        </w:rPr>
        <w:t xml:space="preserve">, da </w:t>
      </w:r>
      <w:r>
        <w:rPr>
          <w:rFonts w:ascii="Arial" w:eastAsia="Arial" w:hAnsi="Arial" w:cs="Arial"/>
          <w:b/>
        </w:rPr>
        <w:t>data designada</w:t>
      </w:r>
      <w:r>
        <w:rPr>
          <w:rFonts w:ascii="Arial" w:eastAsia="Arial" w:hAnsi="Arial" w:cs="Arial"/>
        </w:rPr>
        <w:t xml:space="preserve"> para </w:t>
      </w:r>
      <w:r>
        <w:rPr>
          <w:rFonts w:ascii="Arial" w:eastAsia="Arial" w:hAnsi="Arial" w:cs="Arial"/>
          <w:b/>
        </w:rPr>
        <w:t xml:space="preserve">abertura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b/>
        </w:rPr>
        <w:t xml:space="preserve">envelopes </w:t>
      </w:r>
      <w:r>
        <w:rPr>
          <w:rFonts w:ascii="Arial" w:eastAsia="Arial" w:hAnsi="Arial" w:cs="Arial"/>
        </w:rPr>
        <w:t xml:space="preserve">contendo as </w:t>
      </w:r>
      <w:r>
        <w:rPr>
          <w:rFonts w:ascii="Arial" w:eastAsia="Arial" w:hAnsi="Arial" w:cs="Arial"/>
          <w:b/>
        </w:rPr>
        <w:t>prop</w:t>
      </w:r>
      <w:r>
        <w:rPr>
          <w:rFonts w:ascii="Arial" w:eastAsia="Arial" w:hAnsi="Arial" w:cs="Arial"/>
          <w:b/>
        </w:rPr>
        <w:t>ostas</w:t>
      </w:r>
      <w:r>
        <w:rPr>
          <w:rFonts w:ascii="Arial" w:eastAsia="Arial" w:hAnsi="Arial" w:cs="Arial"/>
        </w:rPr>
        <w:t>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Após análise da documentação e/ou propostas, será lavrada Ata que será assinada pela Comissão e licitantes presentes.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empresas podem ser representadas, no processo licitatório, por procurador legalmente habilitado, desde que apresentado o instrum</w:t>
      </w:r>
      <w:r>
        <w:rPr>
          <w:rFonts w:ascii="Arial" w:eastAsia="Arial" w:hAnsi="Arial" w:cs="Arial"/>
        </w:rPr>
        <w:t>ento procuratório, com firma reconhecida, até o início da sessão de abertura dos envelopes ou por representante devidamente credenciado através da carta de credenciamento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</w:rPr>
        <w:t>Anexo VII</w:t>
      </w:r>
      <w:r>
        <w:rPr>
          <w:rFonts w:ascii="Arial" w:eastAsia="Arial" w:hAnsi="Arial" w:cs="Arial"/>
        </w:rPr>
        <w:t xml:space="preserve">). </w:t>
      </w:r>
    </w:p>
    <w:p w:rsidR="007A45B7" w:rsidRDefault="007A45B7">
      <w:pPr>
        <w:spacing w:line="360" w:lineRule="auto"/>
        <w:ind w:left="720" w:hanging="708"/>
        <w:jc w:val="both"/>
        <w:rPr>
          <w:rFonts w:ascii="Arial" w:eastAsia="Arial" w:hAnsi="Arial" w:cs="Arial"/>
        </w:rPr>
      </w:pPr>
    </w:p>
    <w:p w:rsidR="007A45B7" w:rsidRDefault="00BA7DA0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DOS RECURSOS 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recursos eventualmente interpostos deverão encontrar</w:t>
      </w:r>
      <w:r>
        <w:rPr>
          <w:rFonts w:ascii="Arial" w:eastAsia="Arial" w:hAnsi="Arial" w:cs="Arial"/>
        </w:rPr>
        <w:t>-se devidamente fundamentados com as razões de fato e de direito que motivaram a insurgência do licitante e serem encaminhados à Comissão Permanente de Licitações, protocolados na Secretaria da Câmara Municipal da Estância Turística de Olímpia ou através d</w:t>
      </w:r>
      <w:r>
        <w:rPr>
          <w:rFonts w:ascii="Arial" w:eastAsia="Arial" w:hAnsi="Arial" w:cs="Arial"/>
        </w:rPr>
        <w:t>o e-mail licitacao@camaraolimpia.sp.gov.br, nos termos do art. 109 da Lei nº 8.666/93;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recursos deverão ser protocolados dentro dos prazos previstos no artigo supracitado, que em se tratando de Carta Convite, são reduzidos para 2 (dois) dias úteis, bem </w:t>
      </w:r>
      <w:r>
        <w:rPr>
          <w:rFonts w:ascii="Arial" w:eastAsia="Arial" w:hAnsi="Arial" w:cs="Arial"/>
        </w:rPr>
        <w:t>como conter a qualificação completa da licitante e do seu representante, devidamente assinados;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ausência de quaisquer dos requisitos constantes dos itens 8.1 e 8.2, os recursos serão indeferidos de plano;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 recursos interpostos, na forma do §3º do art</w:t>
      </w:r>
      <w:r>
        <w:rPr>
          <w:rFonts w:ascii="Arial" w:eastAsia="Arial" w:hAnsi="Arial" w:cs="Arial"/>
        </w:rPr>
        <w:t>. 109 da Lei nº 8.666/93, haverá comunicação aos demais licitantes através do Diário Oficial e mediante envio de e-mail;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decisões serão comunicadas ao licitante insurgente e aos demais na forma do item 8.4.</w:t>
      </w:r>
    </w:p>
    <w:p w:rsidR="007A45B7" w:rsidRDefault="007A45B7">
      <w:pPr>
        <w:spacing w:line="360" w:lineRule="auto"/>
        <w:ind w:left="1080"/>
        <w:jc w:val="both"/>
        <w:rPr>
          <w:rFonts w:ascii="Arial" w:eastAsia="Arial" w:hAnsi="Arial" w:cs="Arial"/>
        </w:rPr>
      </w:pPr>
    </w:p>
    <w:p w:rsidR="007A45B7" w:rsidRDefault="00BA7DA0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 HOMOLOGAÇÃO E ADJUDICAÇÃO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Encerrada a fase</w:t>
      </w:r>
      <w:r>
        <w:rPr>
          <w:rFonts w:ascii="Arial" w:eastAsia="Arial" w:hAnsi="Arial" w:cs="Arial"/>
        </w:rPr>
        <w:t xml:space="preserve"> de julgamento e a classificação das propostas, e não havendo recursos protocolados pendentes de decisão ou havendo, tendo sido eles decididos e comunicados ao licitante insurgente, o processo será encaminhado ao Presidente da Câmara para homologação e adj</w:t>
      </w:r>
      <w:r>
        <w:rPr>
          <w:rFonts w:ascii="Arial" w:eastAsia="Arial" w:hAnsi="Arial" w:cs="Arial"/>
        </w:rPr>
        <w:t>udicação.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Após a homologação, a(s) adjudicatária(s) será(</w:t>
      </w:r>
      <w:proofErr w:type="spellStart"/>
      <w:r>
        <w:rPr>
          <w:rFonts w:ascii="Arial" w:eastAsia="Arial" w:hAnsi="Arial" w:cs="Arial"/>
        </w:rPr>
        <w:t>ão</w:t>
      </w:r>
      <w:proofErr w:type="spellEnd"/>
      <w:r>
        <w:rPr>
          <w:rFonts w:ascii="Arial" w:eastAsia="Arial" w:hAnsi="Arial" w:cs="Arial"/>
        </w:rPr>
        <w:t>) convocada(s) para, no prazo de até 3 (três) dias úteis do recebimento do aviso, assinar o contrato para a formalização dos compromissos.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 não comparecimento da adjudicatária no prazo concedido p</w:t>
      </w:r>
      <w:r>
        <w:rPr>
          <w:rFonts w:ascii="Arial" w:eastAsia="Arial" w:hAnsi="Arial" w:cs="Arial"/>
        </w:rPr>
        <w:t>ara assinatura do contrato implicará na perda de direito à contratação, sem prejuízo das sanções legais cabíveis.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homologação do resultado desta licitação não obriga a administração à aquisição do objeto licitado.</w:t>
      </w:r>
    </w:p>
    <w:p w:rsidR="007A45B7" w:rsidRDefault="007A45B7">
      <w:pPr>
        <w:spacing w:line="360" w:lineRule="auto"/>
        <w:ind w:left="1080" w:hanging="708"/>
        <w:jc w:val="both"/>
        <w:rPr>
          <w:rFonts w:ascii="Arial" w:eastAsia="Arial" w:hAnsi="Arial" w:cs="Arial"/>
        </w:rPr>
      </w:pPr>
    </w:p>
    <w:p w:rsidR="007A45B7" w:rsidRDefault="00BA7DA0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 EXECUÇÃO, INEXECUÇÃO E RESCISÃO CONTRATUAL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contratos serão executados de acordo com as condições estabelecidas neste edital e na </w:t>
      </w:r>
      <w:r>
        <w:rPr>
          <w:rFonts w:ascii="Arial" w:eastAsia="Arial" w:hAnsi="Arial" w:cs="Arial"/>
          <w:b/>
        </w:rPr>
        <w:t>Minuta do Contrato (Anexo II)</w:t>
      </w:r>
      <w:r>
        <w:rPr>
          <w:rFonts w:ascii="Arial" w:eastAsia="Arial" w:hAnsi="Arial" w:cs="Arial"/>
        </w:rPr>
        <w:t>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Poderão ser aceitas, subsidiariamente, a critério da administração, condições de execução </w:t>
      </w:r>
      <w:r>
        <w:rPr>
          <w:rFonts w:ascii="Arial" w:eastAsia="Arial" w:hAnsi="Arial" w:cs="Arial"/>
        </w:rPr>
        <w:t>contratual previstas na proposta do fornecedor, desde que não colidam com as do edital.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contratada ficará sujeita às seguintes penalidades:</w:t>
      </w:r>
    </w:p>
    <w:p w:rsidR="007A45B7" w:rsidRDefault="00BA7DA0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Advertência;</w:t>
      </w:r>
    </w:p>
    <w:p w:rsidR="007A45B7" w:rsidRDefault="00BA7DA0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Suspensão temporária de participar de licitações e impedimento de contratar com esta Câmara Municipal</w:t>
      </w:r>
      <w:r>
        <w:rPr>
          <w:rFonts w:ascii="Arial" w:eastAsia="Arial" w:hAnsi="Arial" w:cs="Arial"/>
        </w:rPr>
        <w:t>, por até 2 (dois) anos.</w:t>
      </w:r>
    </w:p>
    <w:p w:rsidR="007A45B7" w:rsidRDefault="00BA7DA0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Declaração de inidoneidade para licitar ou contratar com a administração pública.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Além das expressas no edital, poderão ser impostas outras penalidades previstas nos </w:t>
      </w:r>
      <w:proofErr w:type="spellStart"/>
      <w:r>
        <w:rPr>
          <w:rFonts w:ascii="Arial" w:eastAsia="Arial" w:hAnsi="Arial" w:cs="Arial"/>
        </w:rPr>
        <w:t>Arts</w:t>
      </w:r>
      <w:proofErr w:type="spellEnd"/>
      <w:r>
        <w:rPr>
          <w:rFonts w:ascii="Arial" w:eastAsia="Arial" w:hAnsi="Arial" w:cs="Arial"/>
        </w:rPr>
        <w:t xml:space="preserve"> 86, 87 e 88 da Lei Federal 8.666/93.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inexecução total ou parcial do contrato poderá ensejar sua rescisão, nos casos enumerados nos </w:t>
      </w:r>
      <w:proofErr w:type="spellStart"/>
      <w:r>
        <w:rPr>
          <w:rFonts w:ascii="Arial" w:eastAsia="Arial" w:hAnsi="Arial" w:cs="Arial"/>
        </w:rPr>
        <w:t>Arts</w:t>
      </w:r>
      <w:proofErr w:type="spellEnd"/>
      <w:r>
        <w:rPr>
          <w:rFonts w:ascii="Arial" w:eastAsia="Arial" w:hAnsi="Arial" w:cs="Arial"/>
        </w:rPr>
        <w:t>. 78, 79 e 80 da Lei Federal 8.666/93, sem prejuízo das sanções legais cabíveis.</w:t>
      </w:r>
    </w:p>
    <w:p w:rsidR="007A45B7" w:rsidRDefault="007A45B7">
      <w:pPr>
        <w:spacing w:line="360" w:lineRule="auto"/>
        <w:jc w:val="both"/>
        <w:rPr>
          <w:rFonts w:ascii="Arial" w:eastAsia="Arial" w:hAnsi="Arial" w:cs="Arial"/>
        </w:rPr>
      </w:pPr>
    </w:p>
    <w:p w:rsidR="007A45B7" w:rsidRDefault="00BA7DA0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PAGAMENTO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pagamentos serão efetuados através de crédito em conta cor</w:t>
      </w:r>
      <w:r>
        <w:rPr>
          <w:rFonts w:ascii="Arial" w:eastAsia="Arial" w:hAnsi="Arial" w:cs="Arial"/>
        </w:rPr>
        <w:t>rente da CONTRATADA ou de boleto bancário, em até 5 (cinco) dias úteis após a entrega da Nota Fiscal/Fatura com a discriminação dos itens.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falta de pagamento isentará a licitante de responsabilidade da efetiva execução dos serviços deste edital.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 não pa</w:t>
      </w:r>
      <w:r>
        <w:rPr>
          <w:rFonts w:ascii="Arial" w:eastAsia="Arial" w:hAnsi="Arial" w:cs="Arial"/>
        </w:rPr>
        <w:t>gamento da fatura apresentada nas condições previstas sujeitará a CONTRATANTE à atualização financeira dos valores a serem pagos, desde a data final do período de adimplemento de cada parcela até a data do efetivo pagamento.</w:t>
      </w:r>
    </w:p>
    <w:p w:rsidR="007A45B7" w:rsidRDefault="007A45B7">
      <w:pPr>
        <w:spacing w:line="360" w:lineRule="auto"/>
        <w:jc w:val="both"/>
        <w:rPr>
          <w:rFonts w:ascii="Arial" w:eastAsia="Arial" w:hAnsi="Arial" w:cs="Arial"/>
        </w:rPr>
      </w:pPr>
    </w:p>
    <w:p w:rsidR="007A45B7" w:rsidRDefault="00BA7DA0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DISPOSIÇÕES GERAIS</w:t>
      </w:r>
    </w:p>
    <w:p w:rsidR="007A45B7" w:rsidRDefault="00BA7DA0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Fica fazend</w:t>
      </w:r>
      <w:r>
        <w:rPr>
          <w:rFonts w:ascii="Arial" w:eastAsia="Arial" w:hAnsi="Arial" w:cs="Arial"/>
        </w:rPr>
        <w:t>o parte integrante deste Edital:</w:t>
      </w:r>
    </w:p>
    <w:p w:rsidR="007A45B7" w:rsidRDefault="00BA7DA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 – TERMO DE REFERÊNCIA</w:t>
      </w:r>
    </w:p>
    <w:p w:rsidR="007A45B7" w:rsidRDefault="00BA7DA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II – MINUTA DO CONTRATO</w:t>
      </w:r>
    </w:p>
    <w:p w:rsidR="007A45B7" w:rsidRDefault="00BA7DA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III – DECLARAÇÃO DE REGULARIDADE JUNTO AO MINISTÉRIO DO TRABALHO</w:t>
      </w:r>
    </w:p>
    <w:p w:rsidR="007A45B7" w:rsidRDefault="00BA7DA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IV – DECLARAÇÃO DE INEXISTÊNCIA DE FATO SUPERVENIENTE</w:t>
      </w:r>
    </w:p>
    <w:p w:rsidR="007A45B7" w:rsidRDefault="00BA7DA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V - DECLARAÇÃO ME/EPP</w:t>
      </w:r>
    </w:p>
    <w:p w:rsidR="007A45B7" w:rsidRDefault="00BA7DA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</w:t>
      </w:r>
      <w:r>
        <w:rPr>
          <w:rFonts w:ascii="Arial" w:eastAsia="Arial" w:hAnsi="Arial" w:cs="Arial"/>
        </w:rPr>
        <w:t>O VI – FORMULÁRIO DE PROPOSTA</w:t>
      </w:r>
    </w:p>
    <w:p w:rsidR="007A45B7" w:rsidRDefault="00BA7DA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VII - CARTA DE CREDENCIAMENTO</w:t>
      </w:r>
    </w:p>
    <w:p w:rsidR="007A45B7" w:rsidRDefault="00BA7DA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VIII – TERMO DE RENÚNCIA</w:t>
      </w:r>
    </w:p>
    <w:p w:rsidR="007A45B7" w:rsidRDefault="007A45B7">
      <w:pPr>
        <w:spacing w:line="360" w:lineRule="auto"/>
        <w:ind w:left="720"/>
        <w:jc w:val="both"/>
        <w:rPr>
          <w:rFonts w:ascii="Arial" w:eastAsia="Arial" w:hAnsi="Arial" w:cs="Arial"/>
        </w:rPr>
      </w:pPr>
    </w:p>
    <w:p w:rsidR="007A45B7" w:rsidRDefault="007A45B7">
      <w:pPr>
        <w:tabs>
          <w:tab w:val="left" w:pos="3402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7A45B7" w:rsidRDefault="00BA7DA0">
      <w:pPr>
        <w:tabs>
          <w:tab w:val="left" w:pos="3402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Olímpia/SP, 22 de março de 2021.</w:t>
      </w:r>
    </w:p>
    <w:p w:rsidR="007A45B7" w:rsidRDefault="007A45B7">
      <w:pPr>
        <w:tabs>
          <w:tab w:val="left" w:pos="3402"/>
        </w:tabs>
        <w:spacing w:line="360" w:lineRule="auto"/>
        <w:rPr>
          <w:rFonts w:ascii="Arial" w:eastAsia="Arial" w:hAnsi="Arial" w:cs="Arial"/>
          <w:b/>
        </w:rPr>
      </w:pPr>
    </w:p>
    <w:p w:rsidR="007A45B7" w:rsidRDefault="00BA7DA0">
      <w:pPr>
        <w:tabs>
          <w:tab w:val="left" w:pos="3402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JOSÉ ROBERTO PIMENTA</w:t>
      </w:r>
    </w:p>
    <w:p w:rsidR="007A45B7" w:rsidRDefault="00BA7DA0">
      <w:pPr>
        <w:tabs>
          <w:tab w:val="left" w:pos="3402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PRESIDENTE DA CÂMARA</w:t>
      </w:r>
    </w:p>
    <w:sectPr w:rsidR="007A45B7">
      <w:headerReference w:type="default" r:id="rId8"/>
      <w:footerReference w:type="default" r:id="rId9"/>
      <w:pgSz w:w="11901" w:h="16834"/>
      <w:pgMar w:top="2694" w:right="1134" w:bottom="1134" w:left="2268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DA0" w:rsidRDefault="00BA7DA0">
      <w:r>
        <w:separator/>
      </w:r>
    </w:p>
  </w:endnote>
  <w:endnote w:type="continuationSeparator" w:id="0">
    <w:p w:rsidR="00BA7DA0" w:rsidRDefault="00BA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B7" w:rsidRDefault="007A45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</w:p>
  <w:p w:rsidR="007A45B7" w:rsidRDefault="007A45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</w:p>
  <w:p w:rsidR="007A45B7" w:rsidRDefault="00BA7D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80"/>
        <w:sz w:val="16"/>
        <w:szCs w:val="16"/>
      </w:rPr>
      <w:t>Praça João Fossalussa,867 –Olímpia–SP – CEP 15400-000 – Fone (17) 3279-3999 - www.camaraolimpia.sp.gov.br</w:t>
    </w:r>
  </w:p>
  <w:p w:rsidR="007A45B7" w:rsidRDefault="00BA7D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80"/>
        <w:sz w:val="16"/>
        <w:szCs w:val="16"/>
      </w:rPr>
      <w:t xml:space="preserve">CNPJ. 51.359.818/0001-36 </w:t>
    </w:r>
  </w:p>
  <w:p w:rsidR="007A45B7" w:rsidRDefault="00BA7D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DA0" w:rsidRDefault="00BA7DA0">
      <w:r>
        <w:separator/>
      </w:r>
    </w:p>
  </w:footnote>
  <w:footnote w:type="continuationSeparator" w:id="0">
    <w:p w:rsidR="00BA7DA0" w:rsidRDefault="00BA7DA0">
      <w:r>
        <w:continuationSeparator/>
      </w:r>
    </w:p>
  </w:footnote>
  <w:footnote w:id="1">
    <w:p w:rsidR="007A45B7" w:rsidRDefault="00BA7DA0">
      <w:pPr>
        <w:spacing w:line="360" w:lineRule="auto"/>
        <w:jc w:val="both"/>
        <w:rPr>
          <w:i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Carta de credenciamento</w:t>
      </w:r>
      <w:r>
        <w:rPr>
          <w:sz w:val="20"/>
          <w:szCs w:val="20"/>
        </w:rPr>
        <w:t>: deverá ser preenchida com os dados da pessoa que irá participar do certame e assinada pelo proponente e deverá ser entregue à Comissão na abertura da sessão, sem estar envelopada.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B7" w:rsidRDefault="00BA7D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65pt;margin-top:.55pt;width:69.65pt;height:1in;z-index:251657728;visibility:visible;mso-wrap-edited:f;mso-position-horizontal:absolute;mso-position-horizontal-relative:margin;mso-position-vertical:absolute;mso-position-vertical-relative:text" o:allowincell="f">
          <v:imagedata r:id="rId1" o:title=""/>
          <w10:wrap anchorx="margin"/>
        </v:shape>
        <o:OLEObject Type="Embed" ProgID="Word.Picture.8" ShapeID="_x0000_s2049" DrawAspect="Content" ObjectID="_1677931006" r:id="rId2"/>
      </w:object>
    </w:r>
  </w:p>
  <w:p w:rsidR="007A45B7" w:rsidRDefault="00BA7D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i/>
        <w:color w:val="000080"/>
        <w:sz w:val="32"/>
        <w:szCs w:val="32"/>
      </w:rPr>
    </w:pPr>
    <w:r>
      <w:rPr>
        <w:rFonts w:ascii="Times New Roman" w:eastAsia="Times New Roman" w:hAnsi="Times New Roman" w:cs="Times New Roman"/>
        <w:b/>
        <w:i/>
        <w:color w:val="000080"/>
        <w:sz w:val="48"/>
        <w:szCs w:val="48"/>
      </w:rPr>
      <w:t xml:space="preserve">  </w:t>
    </w:r>
    <w:r>
      <w:rPr>
        <w:rFonts w:ascii="Times New Roman" w:eastAsia="Times New Roman" w:hAnsi="Times New Roman" w:cs="Times New Roman"/>
        <w:b/>
        <w:i/>
        <w:color w:val="000080"/>
        <w:sz w:val="32"/>
        <w:szCs w:val="32"/>
      </w:rPr>
      <w:t>Câmara Municipal da Estância Turística de Olímpia</w:t>
    </w:r>
  </w:p>
  <w:p w:rsidR="007A45B7" w:rsidRDefault="00BA7D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color w:val="000080"/>
        <w:sz w:val="48"/>
        <w:szCs w:val="48"/>
      </w:rPr>
      <w:t xml:space="preserve">      </w:t>
    </w:r>
    <w:r>
      <w:rPr>
        <w:rFonts w:ascii="Times New Roman" w:eastAsia="Times New Roman" w:hAnsi="Times New Roman" w:cs="Times New Roman"/>
        <w:b/>
        <w:color w:val="000080"/>
      </w:rPr>
      <w:t>“</w:t>
    </w:r>
    <w:r>
      <w:rPr>
        <w:rFonts w:ascii="Times New Roman" w:eastAsia="Times New Roman" w:hAnsi="Times New Roman" w:cs="Times New Roman"/>
        <w:b/>
        <w:i/>
        <w:color w:val="000080"/>
      </w:rPr>
      <w:t>Capital Nacional do Folclore e Terra de Águas Quentes</w:t>
    </w:r>
    <w:r>
      <w:rPr>
        <w:rFonts w:ascii="Times New Roman" w:eastAsia="Times New Roman" w:hAnsi="Times New Roman" w:cs="Times New Roman"/>
        <w:b/>
        <w:color w:val="00008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C34D7"/>
    <w:multiLevelType w:val="multilevel"/>
    <w:tmpl w:val="C9FC41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6409F"/>
    <w:multiLevelType w:val="multilevel"/>
    <w:tmpl w:val="8EBC46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DE411A"/>
    <w:multiLevelType w:val="multilevel"/>
    <w:tmpl w:val="9848719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2160" w:hanging="1800"/>
      </w:pPr>
    </w:lvl>
    <w:lvl w:ilvl="6">
      <w:start w:val="1"/>
      <w:numFmt w:val="decimal"/>
      <w:lvlText w:val="%1.%2.%3.%4.%5.%6.%7"/>
      <w:lvlJc w:val="left"/>
      <w:pPr>
        <w:ind w:left="2520" w:hanging="216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880" w:hanging="2520"/>
      </w:pPr>
    </w:lvl>
  </w:abstractNum>
  <w:abstractNum w:abstractNumId="3" w15:restartNumberingAfterBreak="0">
    <w:nsid w:val="7D7D7976"/>
    <w:multiLevelType w:val="multilevel"/>
    <w:tmpl w:val="DF7658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B7"/>
    <w:rsid w:val="002C11E2"/>
    <w:rsid w:val="007A45B7"/>
    <w:rsid w:val="00BA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618868"/>
  <w15:docId w15:val="{7CF92725-E889-41C9-ACD6-D763B29D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5A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5A12"/>
    <w:rPr>
      <w:rFonts w:ascii="Tahoma" w:hAnsi="Tahoma" w:cs="Tahoma"/>
      <w:sz w:val="16"/>
      <w:szCs w:val="16"/>
    </w:rPr>
  </w:style>
  <w:style w:type="character" w:customStyle="1" w:styleId="label">
    <w:name w:val="label"/>
    <w:rsid w:val="001728EE"/>
  </w:style>
  <w:style w:type="character" w:styleId="Hyperlink">
    <w:name w:val="Hyperlink"/>
    <w:uiPriority w:val="99"/>
    <w:semiHidden/>
    <w:unhideWhenUsed/>
    <w:rsid w:val="00F96EB9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8B4EF3"/>
    <w:pPr>
      <w:jc w:val="both"/>
    </w:pPr>
    <w:rPr>
      <w:rFonts w:ascii="Times New Roman" w:hAnsi="Times New Roman"/>
      <w:sz w:val="26"/>
    </w:rPr>
  </w:style>
  <w:style w:type="character" w:customStyle="1" w:styleId="Corpodetexto3Char">
    <w:name w:val="Corpo de texto 3 Char"/>
    <w:link w:val="Corpodetexto3"/>
    <w:rsid w:val="008B4EF3"/>
    <w:rPr>
      <w:sz w:val="26"/>
    </w:rPr>
  </w:style>
  <w:style w:type="paragraph" w:styleId="Recuodecorpodetexto">
    <w:name w:val="Body Text Indent"/>
    <w:basedOn w:val="Normal"/>
    <w:link w:val="RecuodecorpodetextoChar"/>
    <w:rsid w:val="008B4EF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B4EF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033CC"/>
    <w:pPr>
      <w:ind w:left="720"/>
      <w:contextualSpacing/>
    </w:pPr>
  </w:style>
  <w:style w:type="table" w:styleId="Tabelacomgrade">
    <w:name w:val="Table Grid"/>
    <w:basedOn w:val="Tabelanormal"/>
    <w:uiPriority w:val="39"/>
    <w:rsid w:val="00EA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QnfqCFYsyNRl8bS14Ap0bMUZ1A==">AMUW2mVpF04wv2v6XI+hImUWuDWmBbr4ZM2JZR+M9MLu01AWCsoveESfw4YuZ8NG09KCiDmguzCX2TEIZFnghLUMgFAU/BAszkFrLF5ErfZIS8Ybd+YPFI+JaFTn9tg7hclNpWPihsIHrrrMQl7+yCJJzHbu/4XollStBsPoygwuDSyQJ+YxzXBW1QTD+poryL9Y/nFQW0aO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2265</Words>
  <Characters>12235</Characters>
  <Application>Microsoft Office Word</Application>
  <DocSecurity>0</DocSecurity>
  <Lines>101</Lines>
  <Paragraphs>28</Paragraphs>
  <ScaleCrop>false</ScaleCrop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FEREZIN</dc:creator>
  <cp:lastModifiedBy>Liamar</cp:lastModifiedBy>
  <cp:revision>2</cp:revision>
  <dcterms:created xsi:type="dcterms:W3CDTF">2021-03-12T19:53:00Z</dcterms:created>
  <dcterms:modified xsi:type="dcterms:W3CDTF">2021-03-22T18:10:00Z</dcterms:modified>
</cp:coreProperties>
</file>